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after="157" w:afterLines="50" w:line="560" w:lineRule="exact"/>
        <w:ind w:left="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pStyle w:val="3"/>
        <w:spacing w:afterLines="50" w:line="560" w:lineRule="exact"/>
        <w:ind w:firstLine="0"/>
        <w:jc w:val="center"/>
        <w:rPr>
          <w:rFonts w:ascii="方正小标宋简体" w:hAnsi="方正小标宋简体" w:eastAsia="方正小标宋简体" w:cs="方正小标宋简体"/>
          <w:sz w:val="44"/>
          <w:szCs w:val="44"/>
        </w:rPr>
      </w:pPr>
      <w:r>
        <w:rPr>
          <w:rFonts w:hint="eastAsia" w:ascii="小标宋" w:hAnsi="小标宋" w:eastAsia="小标宋" w:cs="小标宋"/>
          <w:sz w:val="44"/>
          <w:szCs w:val="44"/>
        </w:rPr>
        <w:t>中国能建广西工程局公开招聘岗位及资格条件一览表</w:t>
      </w:r>
    </w:p>
    <w:tbl>
      <w:tblPr>
        <w:tblStyle w:val="6"/>
        <w:tblW w:w="13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364"/>
        <w:gridCol w:w="885"/>
        <w:gridCol w:w="4534"/>
        <w:gridCol w:w="5366"/>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841"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序号</w:t>
            </w:r>
          </w:p>
        </w:tc>
        <w:tc>
          <w:tcPr>
            <w:tcW w:w="1364"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岗位</w:t>
            </w:r>
          </w:p>
        </w:tc>
        <w:tc>
          <w:tcPr>
            <w:tcW w:w="885"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人数</w:t>
            </w:r>
          </w:p>
        </w:tc>
        <w:tc>
          <w:tcPr>
            <w:tcW w:w="4534"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任职资格要求</w:t>
            </w:r>
          </w:p>
        </w:tc>
        <w:tc>
          <w:tcPr>
            <w:tcW w:w="5366"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岗位职责</w:t>
            </w:r>
          </w:p>
        </w:tc>
        <w:tc>
          <w:tcPr>
            <w:tcW w:w="1005" w:type="dxa"/>
            <w:vAlign w:val="center"/>
          </w:tcPr>
          <w:p>
            <w:pPr>
              <w:widowControl/>
              <w:jc w:val="center"/>
              <w:textAlignment w:val="center"/>
              <w:rPr>
                <w:rFonts w:ascii="仿宋_GB2312" w:hAnsi="仿宋_GB2312" w:eastAsia="仿宋_GB2312" w:cs="仿宋_GB2312"/>
                <w:b/>
                <w:bCs/>
                <w:sz w:val="24"/>
                <w:szCs w:val="24"/>
              </w:rPr>
            </w:pPr>
            <w:r>
              <w:rPr>
                <w:rFonts w:hint="eastAsia" w:ascii="仿宋_GB2312" w:hAnsi="仿宋_GB2312" w:eastAsia="仿宋_GB2312" w:cs="仿宋_GB2312"/>
                <w:b/>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0" w:hRule="atLeast"/>
        </w:trPr>
        <w:tc>
          <w:tcPr>
            <w:tcW w:w="841" w:type="dxa"/>
            <w:vAlign w:val="center"/>
          </w:tcPr>
          <w:p>
            <w:pPr>
              <w:widowControl/>
              <w:jc w:val="center"/>
              <w:textAlignment w:val="center"/>
              <w:rPr>
                <w:rFonts w:ascii="仿宋_GB2312" w:eastAsia="仿宋_GB2312"/>
                <w:sz w:val="24"/>
                <w:szCs w:val="24"/>
              </w:rPr>
            </w:pPr>
            <w:r>
              <w:rPr>
                <w:rFonts w:hint="eastAsia" w:ascii="仿宋_GB2312" w:hAnsi="宋体" w:eastAsia="仿宋_GB2312" w:cs="仿宋_GB2312"/>
                <w:color w:val="000000"/>
                <w:kern w:val="0"/>
                <w:sz w:val="24"/>
                <w:szCs w:val="24"/>
              </w:rPr>
              <w:t>1</w:t>
            </w:r>
          </w:p>
        </w:tc>
        <w:tc>
          <w:tcPr>
            <w:tcW w:w="1364"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eastAsia="仿宋_GB2312"/>
                <w:sz w:val="24"/>
                <w:szCs w:val="24"/>
                <w:highlight w:val="none"/>
                <w:lang w:val="en-US" w:eastAsia="zh-CN"/>
              </w:rPr>
            </w:pPr>
            <w:r>
              <w:rPr>
                <w:rFonts w:hint="eastAsia" w:ascii="仿宋_GB2312" w:hAnsi="宋体" w:eastAsia="仿宋_GB2312" w:cs="仿宋_GB2312"/>
                <w:color w:val="000000"/>
                <w:kern w:val="0"/>
                <w:sz w:val="24"/>
                <w:szCs w:val="24"/>
                <w:highlight w:val="none"/>
                <w:lang w:val="en-US" w:eastAsia="zh-CN"/>
              </w:rPr>
              <w:t>中国能源建设集团广西水电工程局有限公司菲律宾公司总会计师（8级）</w:t>
            </w:r>
          </w:p>
        </w:tc>
        <w:tc>
          <w:tcPr>
            <w:tcW w:w="885"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仿宋_GB2312" w:hAnsi="仿宋_GB2312" w:eastAsia="仿宋_GB2312" w:cs="仿宋_GB2312"/>
                <w:sz w:val="24"/>
                <w:szCs w:val="24"/>
                <w:highlight w:val="none"/>
              </w:rPr>
            </w:pPr>
            <w:r>
              <w:rPr>
                <w:rFonts w:hint="eastAsia" w:ascii="仿宋_GB2312" w:hAnsi="宋体" w:eastAsia="仿宋_GB2312" w:cs="仿宋_GB2312"/>
                <w:color w:val="000000"/>
                <w:kern w:val="0"/>
                <w:sz w:val="24"/>
                <w:szCs w:val="24"/>
                <w:highlight w:val="none"/>
                <w:lang w:val="en-US" w:eastAsia="zh-CN"/>
              </w:rPr>
              <w:t>1</w:t>
            </w:r>
            <w:r>
              <w:rPr>
                <w:rFonts w:hint="eastAsia" w:ascii="仿宋_GB2312" w:hAnsi="宋体" w:eastAsia="仿宋_GB2312" w:cs="仿宋_GB2312"/>
                <w:color w:val="000000"/>
                <w:kern w:val="0"/>
                <w:sz w:val="24"/>
                <w:szCs w:val="24"/>
                <w:highlight w:val="none"/>
              </w:rPr>
              <w:t>人</w:t>
            </w:r>
          </w:p>
        </w:tc>
        <w:tc>
          <w:tcPr>
            <w:tcW w:w="4534" w:type="dxa"/>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color w:val="000000"/>
                <w:kern w:val="0"/>
                <w:sz w:val="24"/>
                <w:szCs w:val="24"/>
                <w:highlight w:val="none"/>
                <w:lang w:val="en-US" w:eastAsia="zh-CN"/>
              </w:rPr>
            </w:pPr>
            <w:r>
              <w:rPr>
                <w:rFonts w:hint="eastAsia" w:ascii="仿宋_GB2312" w:hAnsi="宋体" w:eastAsia="仿宋_GB2312" w:cs="仿宋_GB2312"/>
                <w:color w:val="000000"/>
                <w:kern w:val="0"/>
                <w:sz w:val="24"/>
                <w:szCs w:val="24"/>
                <w:highlight w:val="none"/>
                <w:lang w:val="en-US" w:eastAsia="zh-CN"/>
              </w:rPr>
              <w:t>1.具有相关专业大学本科及以上文化程度。</w:t>
            </w:r>
          </w:p>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color w:val="000000"/>
                <w:kern w:val="0"/>
                <w:sz w:val="24"/>
                <w:szCs w:val="24"/>
                <w:highlight w:val="none"/>
                <w:lang w:val="en-US" w:eastAsia="zh-CN"/>
              </w:rPr>
            </w:pPr>
            <w:r>
              <w:rPr>
                <w:rFonts w:hint="eastAsia" w:ascii="仿宋_GB2312" w:hAnsi="宋体" w:eastAsia="仿宋_GB2312" w:cs="仿宋_GB2312"/>
                <w:color w:val="000000"/>
                <w:kern w:val="0"/>
                <w:sz w:val="24"/>
                <w:szCs w:val="24"/>
                <w:highlight w:val="none"/>
                <w:lang w:val="en-US" w:eastAsia="zh-CN"/>
              </w:rPr>
              <w:t>2.具有会计师、审计师等财经类中级及以上职称或注册会计师等相关职(执)业资格。</w:t>
            </w:r>
          </w:p>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eastAsia" w:ascii="仿宋_GB2312" w:hAnsi="宋体" w:eastAsia="仿宋_GB2312" w:cs="仿宋_GB2312"/>
                <w:color w:val="000000"/>
                <w:kern w:val="0"/>
                <w:sz w:val="24"/>
                <w:szCs w:val="24"/>
                <w:highlight w:val="none"/>
                <w:lang w:val="en-US" w:eastAsia="zh-CN"/>
              </w:rPr>
            </w:pPr>
            <w:r>
              <w:rPr>
                <w:rFonts w:hint="eastAsia" w:ascii="仿宋_GB2312" w:hAnsi="宋体" w:eastAsia="仿宋_GB2312" w:cs="仿宋_GB2312"/>
                <w:color w:val="000000"/>
                <w:kern w:val="0"/>
                <w:sz w:val="24"/>
                <w:szCs w:val="24"/>
                <w:highlight w:val="none"/>
                <w:lang w:val="en-US" w:eastAsia="zh-CN"/>
              </w:rPr>
              <w:t>3.年龄男不超过50周岁（1974年5月1日之后出生），女不超过48周岁（1976年5月1日之后出生）。</w:t>
            </w:r>
          </w:p>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仿宋_GB2312" w:hAnsi="宋体" w:eastAsia="仿宋_GB2312" w:cs="仿宋_GB2312"/>
                <w:color w:val="000000"/>
                <w:kern w:val="0"/>
                <w:sz w:val="24"/>
                <w:szCs w:val="24"/>
                <w:highlight w:val="none"/>
                <w:lang w:val="en-US" w:eastAsia="zh-CN"/>
              </w:rPr>
            </w:pPr>
            <w:r>
              <w:rPr>
                <w:rFonts w:hint="eastAsia" w:ascii="仿宋_GB2312" w:hAnsi="宋体" w:eastAsia="仿宋_GB2312" w:cs="仿宋_GB2312"/>
                <w:color w:val="000000"/>
                <w:kern w:val="0"/>
                <w:sz w:val="24"/>
                <w:szCs w:val="24"/>
                <w:highlight w:val="none"/>
                <w:lang w:val="en-US" w:eastAsia="zh-CN"/>
              </w:rPr>
              <w:t>4.应为中共党员。</w:t>
            </w:r>
            <w:bookmarkStart w:id="0" w:name="_GoBack"/>
            <w:bookmarkEnd w:id="0"/>
          </w:p>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仿宋_GB2312" w:hAnsi="宋体" w:eastAsia="仿宋_GB2312" w:cs="仿宋_GB2312"/>
                <w:color w:val="000000"/>
                <w:kern w:val="0"/>
                <w:sz w:val="24"/>
                <w:szCs w:val="24"/>
                <w:highlight w:val="none"/>
                <w:lang w:val="en-US" w:eastAsia="zh-CN"/>
              </w:rPr>
            </w:pPr>
            <w:r>
              <w:rPr>
                <w:rFonts w:hint="eastAsia" w:ascii="仿宋_GB2312" w:hAnsi="宋体" w:eastAsia="仿宋_GB2312" w:cs="仿宋_GB2312"/>
                <w:color w:val="000000"/>
                <w:kern w:val="0"/>
                <w:sz w:val="24"/>
                <w:szCs w:val="24"/>
                <w:highlight w:val="none"/>
                <w:lang w:val="en-US" w:eastAsia="zh-CN"/>
              </w:rPr>
              <w:t>5.具有5年以上财务、金融、审计、资产管理等相关岗位工作经历。</w:t>
            </w:r>
          </w:p>
          <w:p>
            <w:pPr>
              <w:keepNext w:val="0"/>
              <w:keepLines w:val="0"/>
              <w:pageBreakBefore w:val="0"/>
              <w:widowControl/>
              <w:kinsoku/>
              <w:wordWrap/>
              <w:overflowPunct/>
              <w:topLinePunct w:val="0"/>
              <w:autoSpaceDE/>
              <w:autoSpaceDN/>
              <w:bidi w:val="0"/>
              <w:adjustRightInd/>
              <w:snapToGrid/>
              <w:spacing w:line="300" w:lineRule="exact"/>
              <w:jc w:val="both"/>
              <w:textAlignment w:val="center"/>
              <w:rPr>
                <w:rFonts w:hint="default" w:ascii="仿宋_GB2312" w:hAnsi="宋体" w:eastAsia="仿宋_GB2312" w:cs="仿宋_GB2312"/>
                <w:color w:val="000000"/>
                <w:kern w:val="0"/>
                <w:sz w:val="24"/>
                <w:szCs w:val="24"/>
                <w:highlight w:val="none"/>
                <w:lang w:val="en-US" w:eastAsia="zh-CN"/>
              </w:rPr>
            </w:pPr>
            <w:r>
              <w:rPr>
                <w:rFonts w:hint="eastAsia" w:ascii="仿宋_GB2312" w:hAnsi="宋体" w:eastAsia="仿宋_GB2312" w:cs="仿宋_GB2312"/>
                <w:color w:val="000000"/>
                <w:kern w:val="0"/>
                <w:sz w:val="24"/>
                <w:szCs w:val="24"/>
                <w:highlight w:val="none"/>
                <w:lang w:val="en-US" w:eastAsia="zh-CN"/>
              </w:rPr>
              <w:t>6.涉及提拔的，应当在现岗级9及以上岗位工作2年以上，未满2年但特别优秀的应当在现岗级9级岗位和10级岗位工作累计4年以上。</w:t>
            </w:r>
          </w:p>
          <w:p>
            <w:pPr>
              <w:pStyle w:val="2"/>
              <w:keepNext w:val="0"/>
              <w:keepLines w:val="0"/>
              <w:pageBreakBefore w:val="0"/>
              <w:kinsoku/>
              <w:wordWrap/>
              <w:overflowPunct/>
              <w:topLinePunct w:val="0"/>
              <w:autoSpaceDE/>
              <w:autoSpaceDN/>
              <w:bidi w:val="0"/>
              <w:adjustRightInd/>
              <w:snapToGrid/>
              <w:spacing w:after="0" w:line="300" w:lineRule="exact"/>
              <w:ind w:left="0" w:leftChars="0" w:firstLine="0" w:firstLineChars="0"/>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7.担任过同职级的干部参加竞聘的，不受上述年龄、学历和专业技术资格条件限制。</w:t>
            </w:r>
          </w:p>
          <w:p>
            <w:pPr>
              <w:pStyle w:val="2"/>
              <w:keepNext w:val="0"/>
              <w:keepLines w:val="0"/>
              <w:pageBreakBefore w:val="0"/>
              <w:kinsoku/>
              <w:wordWrap/>
              <w:overflowPunct/>
              <w:topLinePunct w:val="0"/>
              <w:autoSpaceDE/>
              <w:autoSpaceDN/>
              <w:bidi w:val="0"/>
              <w:adjustRightInd/>
              <w:snapToGrid/>
              <w:spacing w:after="0" w:line="300" w:lineRule="exact"/>
              <w:ind w:left="0" w:leftChars="0" w:firstLine="0" w:firstLineChars="0"/>
              <w:rPr>
                <w:rFonts w:hint="eastAsia" w:ascii="仿宋_GB2312" w:hAnsi="仿宋_GB2312" w:eastAsia="仿宋_GB2312" w:cs="仿宋_GB2312"/>
                <w:color w:val="000000"/>
                <w:kern w:val="0"/>
                <w:sz w:val="24"/>
                <w:szCs w:val="24"/>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8.具有较好的计划能力、综合协调能力、较好的英语交流和沟通能力。</w:t>
            </w:r>
          </w:p>
          <w:p>
            <w:pPr>
              <w:pStyle w:val="2"/>
              <w:keepNext w:val="0"/>
              <w:keepLines w:val="0"/>
              <w:pageBreakBefore w:val="0"/>
              <w:kinsoku/>
              <w:wordWrap/>
              <w:overflowPunct/>
              <w:topLinePunct w:val="0"/>
              <w:autoSpaceDE/>
              <w:autoSpaceDN/>
              <w:bidi w:val="0"/>
              <w:adjustRightInd/>
              <w:snapToGrid/>
              <w:spacing w:after="0" w:line="300" w:lineRule="exact"/>
              <w:ind w:left="0" w:leftChars="0" w:firstLine="0" w:firstLineChars="0"/>
              <w:rPr>
                <w:rFonts w:hint="default" w:eastAsia="仿宋_GB2312"/>
                <w:highlight w:val="none"/>
                <w:lang w:val="en-US" w:eastAsia="zh-CN"/>
              </w:rPr>
            </w:pPr>
            <w:r>
              <w:rPr>
                <w:rFonts w:hint="eastAsia" w:ascii="仿宋_GB2312" w:hAnsi="仿宋_GB2312" w:eastAsia="仿宋_GB2312" w:cs="仿宋_GB2312"/>
                <w:color w:val="000000"/>
                <w:kern w:val="0"/>
                <w:sz w:val="24"/>
                <w:szCs w:val="24"/>
                <w:highlight w:val="none"/>
                <w:lang w:val="en-US" w:eastAsia="zh-CN"/>
              </w:rPr>
              <w:t>9.有境外工作经历者优先。</w:t>
            </w:r>
          </w:p>
        </w:tc>
        <w:tc>
          <w:tcPr>
            <w:tcW w:w="5366"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jc w:val="both"/>
              <w:textAlignment w:val="center"/>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1.负责财务管控体系建设。负责推进本单位司库管理、全面预算管理、全面有效的财务合规风控体系等体系建设；积极推进财务系统与业务系统的融合，确保财务信息贯通和财务管控落地。</w:t>
            </w:r>
          </w:p>
          <w:p>
            <w:pPr>
              <w:keepNext w:val="0"/>
              <w:keepLines w:val="0"/>
              <w:pageBreakBefore w:val="0"/>
              <w:widowControl/>
              <w:kinsoku/>
              <w:wordWrap/>
              <w:overflowPunct/>
              <w:topLinePunct w:val="0"/>
              <w:autoSpaceDE/>
              <w:autoSpaceDN/>
              <w:bidi w:val="0"/>
              <w:adjustRightInd/>
              <w:snapToGrid/>
              <w:spacing w:line="240" w:lineRule="exact"/>
              <w:ind w:left="0" w:leftChars="0"/>
              <w:jc w:val="both"/>
              <w:textAlignment w:val="center"/>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2.负责财务金融业务管理。负责财务预算管理、成本费用管控、税务管理、“两金”管理、资金管理、资产盘活、财务内部控制与风险管理、财务信息化建设、经济运行监测、经营绩效评价、债务风险管控等财务会计和金融业务管理工作;监督重大经营决策执行情况和资金使用情况，开展财务金融专项分析，提出加强和改进经营管理的具体措施。监督本单位重大经营决策执行情况和资金使用情况，通过经济活动分析，提出加强和改进经营管理的具体措施。</w:t>
            </w:r>
          </w:p>
          <w:p>
            <w:pPr>
              <w:keepNext w:val="0"/>
              <w:keepLines w:val="0"/>
              <w:pageBreakBefore w:val="0"/>
              <w:widowControl/>
              <w:kinsoku/>
              <w:wordWrap/>
              <w:overflowPunct/>
              <w:topLinePunct w:val="0"/>
              <w:autoSpaceDE/>
              <w:autoSpaceDN/>
              <w:bidi w:val="0"/>
              <w:adjustRightInd/>
              <w:snapToGrid/>
              <w:spacing w:line="240" w:lineRule="exact"/>
              <w:ind w:left="0" w:leftChars="0"/>
              <w:jc w:val="both"/>
              <w:textAlignment w:val="center"/>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3.参与本单位生产经营决策。参与重要规章制度的制定，参与本单位“三重一大”事项决策，参与重大经营合同和经济协议的论证审查，对所参与决策或论证事项的经营可行性及潜在风险等发表专业意见。</w:t>
            </w:r>
          </w:p>
          <w:p>
            <w:pPr>
              <w:keepNext w:val="0"/>
              <w:keepLines w:val="0"/>
              <w:pageBreakBefore w:val="0"/>
              <w:widowControl/>
              <w:kinsoku/>
              <w:wordWrap/>
              <w:overflowPunct/>
              <w:topLinePunct w:val="0"/>
              <w:autoSpaceDE/>
              <w:autoSpaceDN/>
              <w:bidi w:val="0"/>
              <w:adjustRightInd/>
              <w:snapToGrid/>
              <w:spacing w:line="240" w:lineRule="exact"/>
              <w:ind w:left="0" w:leftChars="0"/>
              <w:jc w:val="both"/>
              <w:textAlignment w:val="center"/>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4.协助内部控制机制建设。负责财会和资金内部控制建设与实施，建立大额资金联签制度，严格资金授权审批程序；落实财会和资金内部控制责任，对本单位经济活动的全过程进行财务监督和控制；组织建立和完善财务风险预警与控制机制。对违反国家财经法律、法规和企业内部制度，以及有可能在经济上造成损失浪费的行为，有权制止或纠正，制止或纠正无效的，提请企业负责人处理。</w:t>
            </w:r>
          </w:p>
          <w:p>
            <w:pPr>
              <w:keepNext w:val="0"/>
              <w:keepLines w:val="0"/>
              <w:pageBreakBefore w:val="0"/>
              <w:widowControl/>
              <w:kinsoku/>
              <w:wordWrap/>
              <w:overflowPunct/>
              <w:topLinePunct w:val="0"/>
              <w:autoSpaceDE/>
              <w:autoSpaceDN/>
              <w:bidi w:val="0"/>
              <w:adjustRightInd/>
              <w:snapToGrid/>
              <w:spacing w:line="240" w:lineRule="exact"/>
              <w:ind w:left="0" w:leftChars="0"/>
              <w:jc w:val="both"/>
              <w:textAlignment w:val="center"/>
              <w:rPr>
                <w:rFonts w:hint="default"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5.负责财会人员队伍建设。负责本单位的财务队伍的能力建设，聚焦数据与价值，优化专业能力和素质，打造一支结构优化、专业高效，执行力强的高素质财会人才队伍。</w:t>
            </w:r>
          </w:p>
          <w:p>
            <w:pPr>
              <w:keepNext w:val="0"/>
              <w:keepLines w:val="0"/>
              <w:pageBreakBefore w:val="0"/>
              <w:widowControl/>
              <w:kinsoku/>
              <w:wordWrap/>
              <w:overflowPunct/>
              <w:topLinePunct w:val="0"/>
              <w:autoSpaceDE/>
              <w:autoSpaceDN/>
              <w:bidi w:val="0"/>
              <w:adjustRightInd/>
              <w:snapToGrid/>
              <w:spacing w:line="240" w:lineRule="exact"/>
              <w:ind w:left="0" w:leftChars="0"/>
              <w:jc w:val="both"/>
              <w:textAlignment w:val="center"/>
              <w:rPr>
                <w:rFonts w:hint="eastAsia" w:ascii="仿宋_GB2312" w:hAnsi="仿宋_GB2312" w:eastAsia="仿宋_GB2312" w:cs="仿宋_GB2312"/>
                <w:color w:val="000000"/>
                <w:kern w:val="0"/>
                <w:sz w:val="24"/>
                <w:szCs w:val="24"/>
                <w:highlight w:val="none"/>
                <w:lang w:val="en-US" w:eastAsia="zh-CN" w:bidi="ar-SA"/>
              </w:rPr>
            </w:pPr>
            <w:r>
              <w:rPr>
                <w:rFonts w:hint="eastAsia" w:ascii="仿宋_GB2312" w:hAnsi="仿宋_GB2312" w:eastAsia="仿宋_GB2312" w:cs="仿宋_GB2312"/>
                <w:color w:val="000000"/>
                <w:kern w:val="0"/>
                <w:sz w:val="24"/>
                <w:szCs w:val="24"/>
                <w:highlight w:val="none"/>
                <w:lang w:val="en-US" w:eastAsia="zh-CN" w:bidi="ar-SA"/>
              </w:rPr>
              <w:t>6.及时报告重要经营事项。定期向上级单位报告本单位经营和财务管理情况。对发生的大额经营损失、存在的重大经营风险以及重大决策发表不同意见未被采纳等可能影响国有资产安全的经营事项，在与本单位主要负责人沟通基础上，及时向上级单位报告。</w:t>
            </w:r>
          </w:p>
          <w:p>
            <w:pPr>
              <w:keepNext w:val="0"/>
              <w:keepLines w:val="0"/>
              <w:pageBreakBefore w:val="0"/>
              <w:widowControl/>
              <w:kinsoku/>
              <w:wordWrap/>
              <w:overflowPunct/>
              <w:topLinePunct w:val="0"/>
              <w:autoSpaceDE/>
              <w:autoSpaceDN/>
              <w:bidi w:val="0"/>
              <w:adjustRightInd/>
              <w:snapToGrid/>
              <w:spacing w:line="240" w:lineRule="exact"/>
              <w:ind w:left="0" w:leftChars="0"/>
              <w:jc w:val="both"/>
              <w:textAlignment w:val="center"/>
              <w:rPr>
                <w:rFonts w:hint="eastAsia" w:ascii="仿宋_GB2312" w:hAnsi="仿宋_GB2312" w:eastAsia="仿宋_GB2312" w:cs="仿宋_GB2312"/>
                <w:highlight w:val="none"/>
                <w:lang w:val="en-US" w:eastAsia="zh-CN"/>
              </w:rPr>
            </w:pPr>
            <w:r>
              <w:rPr>
                <w:rFonts w:hint="eastAsia" w:ascii="仿宋_GB2312" w:hAnsi="仿宋_GB2312" w:eastAsia="仿宋_GB2312" w:cs="仿宋_GB2312"/>
                <w:color w:val="000000"/>
                <w:kern w:val="0"/>
                <w:sz w:val="24"/>
                <w:szCs w:val="24"/>
                <w:highlight w:val="none"/>
                <w:lang w:val="en-US" w:eastAsia="zh-CN" w:bidi="ar-SA"/>
              </w:rPr>
              <w:t>7.完成上级单位赋予的其他职责及交办的专项任务。</w:t>
            </w:r>
          </w:p>
        </w:tc>
        <w:tc>
          <w:tcPr>
            <w:tcW w:w="1005" w:type="dxa"/>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仿宋_GB2312" w:hAnsi="宋体" w:eastAsia="仿宋_GB2312" w:cs="仿宋_GB2312"/>
                <w:color w:val="000000"/>
                <w:kern w:val="0"/>
                <w:sz w:val="24"/>
                <w:szCs w:val="24"/>
                <w:highlight w:val="none"/>
                <w:lang w:val="en-US" w:eastAsia="zh-CN"/>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小标宋">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15643"/>
    <w:rsid w:val="1228108D"/>
    <w:rsid w:val="1C315643"/>
    <w:rsid w:val="3CF135B1"/>
    <w:rsid w:val="42C24A68"/>
    <w:rsid w:val="617F779A"/>
    <w:rsid w:val="7B983050"/>
    <w:rsid w:val="7F6B5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next w:val="1"/>
    <w:unhideWhenUsed/>
    <w:qFormat/>
    <w:uiPriority w:val="99"/>
    <w:pPr>
      <w:spacing w:after="120" w:line="480" w:lineRule="auto"/>
      <w:ind w:left="420" w:leftChars="200"/>
    </w:pPr>
  </w:style>
  <w:style w:type="paragraph" w:styleId="3">
    <w:name w:val="Body Text Indent"/>
    <w:basedOn w:val="1"/>
    <w:qFormat/>
    <w:uiPriority w:val="0"/>
    <w:pPr>
      <w:spacing w:line="600" w:lineRule="exact"/>
      <w:ind w:firstLine="630"/>
    </w:pPr>
    <w:rPr>
      <w:rFonts w:ascii="Times New Roman" w:hAnsi="Times New Roman" w:eastAsia="仿宋_GB2312" w:cs="Times New Roman"/>
      <w:sz w:val="32"/>
      <w:szCs w:val="20"/>
    </w:r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2024-05-24T03:13:00Z</dcterms:created>
  <dc:creator>官威</dc:creator>
  <cp:lastModifiedBy>xhan121X</cp:lastModifiedBy>
  <dcterms:modified xsi:type="dcterms:W3CDTF">2024-05-27T09:54:13Z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DCA001CB4DB4495FB2881CBC251A3859</vt:lpwstr>
  </property>
</Properties>
</file>