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50" w:line="560" w:lineRule="exact"/>
        <w:ind w:firstLine="0"/>
        <w:rPr>
          <w:rFonts w:ascii="仿宋_GB2312" w:hAnsi="仿宋_GB2312" w:cs="仿宋_GB2312"/>
          <w:szCs w:val="32"/>
        </w:rPr>
      </w:pPr>
      <w:r>
        <w:rPr>
          <w:rFonts w:hint="eastAsia" w:ascii="仿宋_GB2312" w:hAnsi="仿宋_GB2312" w:cs="仿宋_GB2312"/>
          <w:szCs w:val="32"/>
        </w:rPr>
        <w:t>附件1</w:t>
      </w:r>
    </w:p>
    <w:p>
      <w:pPr>
        <w:pStyle w:val="3"/>
        <w:spacing w:afterLines="50" w:line="560" w:lineRule="exact"/>
        <w:ind w:firstLine="0"/>
        <w:jc w:val="center"/>
        <w:rPr>
          <w:rFonts w:ascii="方正小标宋简体" w:hAnsi="方正小标宋简体" w:eastAsia="方正小标宋简体" w:cs="方正小标宋简体"/>
          <w:sz w:val="44"/>
          <w:szCs w:val="44"/>
        </w:rPr>
      </w:pPr>
      <w:r>
        <w:rPr>
          <w:rFonts w:hint="eastAsia" w:ascii="小标宋" w:hAnsi="小标宋" w:eastAsia="小标宋" w:cs="小标宋"/>
          <w:sz w:val="44"/>
          <w:szCs w:val="44"/>
        </w:rPr>
        <w:t>中国能建葛洲坝广西工程局公开招聘岗位及资格条件一览表</w:t>
      </w:r>
    </w:p>
    <w:tbl>
      <w:tblPr>
        <w:tblStyle w:val="8"/>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4"/>
        <w:gridCol w:w="885"/>
        <w:gridCol w:w="4773"/>
        <w:gridCol w:w="5127"/>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4773"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5127"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9" w:hRule="atLeast"/>
        </w:trPr>
        <w:tc>
          <w:tcPr>
            <w:tcW w:w="841" w:type="dxa"/>
            <w:vAlign w:val="center"/>
          </w:tcPr>
          <w:p>
            <w:pPr>
              <w:widowControl/>
              <w:jc w:val="center"/>
              <w:textAlignment w:val="center"/>
              <w:rPr>
                <w:rFonts w:ascii="仿宋_GB2312" w:eastAsia="仿宋_GB2312"/>
                <w:sz w:val="24"/>
                <w:szCs w:val="24"/>
              </w:rPr>
            </w:pPr>
            <w:r>
              <w:rPr>
                <w:rFonts w:hint="eastAsia" w:ascii="仿宋_GB2312" w:hAnsi="宋体" w:eastAsia="仿宋_GB2312" w:cs="仿宋_GB2312"/>
                <w:color w:val="000000"/>
                <w:kern w:val="0"/>
                <w:sz w:val="24"/>
                <w:szCs w:val="24"/>
              </w:rPr>
              <w:t>1</w:t>
            </w:r>
          </w:p>
        </w:tc>
        <w:tc>
          <w:tcPr>
            <w:tcW w:w="1364" w:type="dxa"/>
            <w:vAlign w:val="center"/>
          </w:tcPr>
          <w:p>
            <w:pPr>
              <w:widowControl/>
              <w:textAlignment w:val="center"/>
              <w:rPr>
                <w:rFonts w:hint="eastAsia" w:ascii="仿宋_GB2312" w:eastAsia="仿宋_GB2312"/>
                <w:sz w:val="24"/>
                <w:szCs w:val="24"/>
                <w:lang w:eastAsia="zh-CN"/>
              </w:rPr>
            </w:pPr>
            <w:r>
              <w:rPr>
                <w:rFonts w:hint="eastAsia" w:ascii="仿宋_GB2312" w:hAnsi="宋体" w:eastAsia="仿宋_GB2312" w:cs="仿宋_GB2312"/>
                <w:color w:val="000000"/>
                <w:kern w:val="0"/>
                <w:sz w:val="24"/>
                <w:szCs w:val="24"/>
              </w:rPr>
              <w:t>中国能源建设集团广西水电工程局有限公司市场开发与投资事业部副总经理</w:t>
            </w:r>
          </w:p>
        </w:tc>
        <w:tc>
          <w:tcPr>
            <w:tcW w:w="88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宋体" w:eastAsia="仿宋_GB2312" w:cs="仿宋_GB2312"/>
                <w:color w:val="000000"/>
                <w:kern w:val="0"/>
                <w:sz w:val="24"/>
                <w:szCs w:val="24"/>
              </w:rPr>
              <w:t>2人</w:t>
            </w:r>
          </w:p>
        </w:tc>
        <w:tc>
          <w:tcPr>
            <w:tcW w:w="4773" w:type="dxa"/>
            <w:vAlign w:val="center"/>
          </w:tcPr>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1.相关专业大学本科及以上文化程度。</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2.相关专业中级及以上职称或相关职(执)业资格。</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3.年龄不超过45周岁（1978年</w:t>
            </w:r>
            <w:r>
              <w:rPr>
                <w:rFonts w:hint="eastAsia" w:ascii="仿宋_GB2312" w:hAnsi="宋体" w:eastAsia="仿宋_GB2312" w:cs="仿宋_GB2312"/>
                <w:color w:val="000000"/>
                <w:kern w:val="0"/>
                <w:sz w:val="24"/>
                <w:szCs w:val="24"/>
                <w:lang w:val="en-US" w:eastAsia="zh-CN"/>
              </w:rPr>
              <w:t>11</w:t>
            </w:r>
            <w:r>
              <w:rPr>
                <w:rFonts w:hint="eastAsia" w:ascii="仿宋_GB2312" w:hAnsi="宋体" w:eastAsia="仿宋_GB2312" w:cs="仿宋_GB2312"/>
                <w:color w:val="000000"/>
                <w:kern w:val="0"/>
                <w:sz w:val="24"/>
                <w:szCs w:val="24"/>
              </w:rPr>
              <w:t>月1日之后出生）。</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4.5年以上工程施工企业市场开发相关工作经历。</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5.涉及提拔的，应当在现岗级9级（含原正科级）及以上岗位工作2年以上，未满2年但特别优秀的应当在现岗级9岗位和岗级10（含原副科级）岗位工作累计4年以上。</w:t>
            </w:r>
          </w:p>
          <w:p>
            <w:pPr>
              <w:widowControl/>
              <w:jc w:val="both"/>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6.对能力突出、为企业作出重大贡献或业绩特别显著的“</w:t>
            </w:r>
            <w:r>
              <w:rPr>
                <w:rFonts w:hint="eastAsia" w:ascii="仿宋_GB2312" w:hAnsi="宋体" w:eastAsia="仿宋_GB2312" w:cs="仿宋_GB2312"/>
                <w:color w:val="000000"/>
                <w:kern w:val="0"/>
                <w:sz w:val="24"/>
                <w:szCs w:val="24"/>
                <w:lang w:val="en-US" w:eastAsia="zh-CN"/>
              </w:rPr>
              <w:t>90</w:t>
            </w:r>
            <w:r>
              <w:rPr>
                <w:rFonts w:hint="eastAsia" w:ascii="仿宋_GB2312" w:hAnsi="宋体" w:eastAsia="仿宋_GB2312" w:cs="仿宋_GB2312"/>
                <w:color w:val="000000"/>
                <w:kern w:val="0"/>
                <w:sz w:val="24"/>
                <w:szCs w:val="24"/>
              </w:rPr>
              <w:t>后”年轻干部，可适当放宽以上条件，其中岗级可适当放宽至10级。</w:t>
            </w:r>
          </w:p>
          <w:p>
            <w:pPr>
              <w:widowControl/>
              <w:jc w:val="both"/>
              <w:textAlignment w:val="center"/>
              <w:rPr>
                <w:rFonts w:ascii="仿宋_GB2312"/>
                <w:sz w:val="24"/>
                <w:szCs w:val="24"/>
              </w:rPr>
            </w:pPr>
            <w:r>
              <w:rPr>
                <w:rFonts w:hint="eastAsia" w:ascii="仿宋_GB2312" w:hAnsi="宋体" w:eastAsia="仿宋_GB2312" w:cs="仿宋_GB2312"/>
                <w:color w:val="000000"/>
                <w:kern w:val="0"/>
                <w:sz w:val="24"/>
                <w:szCs w:val="24"/>
              </w:rPr>
              <w:t>7.具有较好的计划能力、综合协调能力、组织沟通能力。</w:t>
            </w:r>
          </w:p>
        </w:tc>
        <w:tc>
          <w:tcPr>
            <w:tcW w:w="5127" w:type="dxa"/>
            <w:vAlign w:val="center"/>
          </w:tcPr>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1.协助事业部总经理负责国内市场开发工作。</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2.负责组织信息管理、综合事务管理。</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3.负责组织市场信息收集、整理、分析管理，跟踪重点目标项目。</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4.负责市场规划研究，建立和维护国内市场开发信息库。</w:t>
            </w:r>
          </w:p>
          <w:p>
            <w:pPr>
              <w:widowControl/>
              <w:jc w:val="both"/>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5.负责组织招（投）标文件评审、标前策划、现场踏勘、编标投标等。</w:t>
            </w:r>
          </w:p>
          <w:p>
            <w:pPr>
              <w:widowControl/>
              <w:jc w:val="both"/>
              <w:textAlignment w:val="center"/>
              <w:rPr>
                <w:rFonts w:ascii="仿宋_GB2312"/>
                <w:sz w:val="24"/>
                <w:szCs w:val="24"/>
              </w:rPr>
            </w:pPr>
            <w:r>
              <w:rPr>
                <w:rFonts w:hint="eastAsia" w:ascii="仿宋_GB2312" w:hAnsi="宋体" w:eastAsia="仿宋_GB2312" w:cs="仿宋_GB2312"/>
                <w:color w:val="000000"/>
                <w:kern w:val="0"/>
                <w:sz w:val="24"/>
                <w:szCs w:val="24"/>
              </w:rPr>
              <w:t>6.负责公共关系建立和维护。</w:t>
            </w:r>
          </w:p>
        </w:tc>
        <w:tc>
          <w:tcPr>
            <w:tcW w:w="1005"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4773"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5127"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41" w:type="dxa"/>
            <w:vAlign w:val="center"/>
          </w:tcPr>
          <w:p>
            <w:pPr>
              <w:widowControl/>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364" w:type="dxa"/>
            <w:vAlign w:val="center"/>
          </w:tcPr>
          <w:p>
            <w:pPr>
              <w:widowControl/>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广西水工机械有限公司总会计师</w:t>
            </w:r>
          </w:p>
        </w:tc>
        <w:tc>
          <w:tcPr>
            <w:tcW w:w="885" w:type="dxa"/>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1人</w:t>
            </w:r>
          </w:p>
        </w:tc>
        <w:tc>
          <w:tcPr>
            <w:tcW w:w="4773" w:type="dxa"/>
            <w:vAlign w:val="center"/>
          </w:tcPr>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财务相关</w:t>
            </w:r>
            <w:r>
              <w:rPr>
                <w:rFonts w:hint="eastAsia" w:ascii="仿宋_GB2312" w:hAnsi="仿宋_GB2312" w:eastAsia="仿宋_GB2312" w:cs="仿宋_GB2312"/>
                <w:kern w:val="0"/>
                <w:sz w:val="24"/>
                <w:szCs w:val="24"/>
              </w:rPr>
              <w:t>专业大学本科及以上文化程度。</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财务相关</w:t>
            </w:r>
            <w:r>
              <w:rPr>
                <w:rFonts w:hint="eastAsia" w:ascii="仿宋_GB2312" w:hAnsi="仿宋_GB2312" w:eastAsia="仿宋_GB2312" w:cs="仿宋_GB2312"/>
                <w:kern w:val="0"/>
                <w:sz w:val="24"/>
                <w:szCs w:val="24"/>
              </w:rPr>
              <w:t>专业中级及以上职称或相关职(执)业资格。</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3.年龄不超过45周岁（1978年11月1日之后出生）。</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4.8年以上财务相关工作经历。</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6.对能力突出、为企业作出重大贡献或业绩特别显著的“90后”年轻干部，可适当放宽以上条件，其中岗级可适当放宽至10级。</w:t>
            </w:r>
          </w:p>
          <w:p>
            <w:pPr>
              <w:widowControl/>
              <w:jc w:val="both"/>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7.具有较好的计划能力、综合协调能力、组织沟通能力。</w:t>
            </w:r>
          </w:p>
        </w:tc>
        <w:tc>
          <w:tcPr>
            <w:tcW w:w="5127"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1.负责推进本单位司库管理、全面预算管理、全面有效的财务合规风控体系等体系建设；积极推进财务系统与业务系统的融合，确保财务信息贯通和财务管控落地。</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2.负责财务预算管理、成本费用管控、税务管理、“两金”管理、资产盘活、财务内部控制与风险管理、财务信息化建设、资金筹措与集中管理、经营绩效评价、债务风险管控等财务会计和金融业务管理工作。</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3.监督本单位重大经营决策执行情况和资金使用情况，通过经济活动分析，提出加强和改进经营管理的具体措施。</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4.参与重要规章制度的制定，参与本单位“三重一大”事项决策，参与重大经营合同和经济协议的论证审查，对所参与决策或论证事项的经营可行性及潜在风险等发表专业意见。</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负责财会和资金内部控制建设与实施，建立大额资金联签制度，严格资金授权审批程序；落实财会和资金内部控制责任，对本单位经济活动的全过程进行财务监督和控制；组织建立和完善财务风险预警与控制机制。</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6.对违反国家财经法律、法规和企业内部制度，以及有可能在经济上造成损失浪费的行为，有权制止或纠正，制止或纠正无效的，提请企业负责人处理。</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sz w:val="21"/>
                <w:szCs w:val="21"/>
              </w:rPr>
              <w:t>7.定期向上级单位报告本单位经营和财务管理情况。对发生的大额经营损失、存在的重大经营风险以及重大决策发表不同意见未被采纳等可能影响国有资产安全的经营事项，在与本单位主要负责人沟通基础上，及时向上级单位报告。</w:t>
            </w:r>
          </w:p>
        </w:tc>
        <w:tc>
          <w:tcPr>
            <w:tcW w:w="1005"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4773"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5127"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3</w:t>
            </w:r>
          </w:p>
        </w:tc>
        <w:tc>
          <w:tcPr>
            <w:tcW w:w="1364"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宋体" w:eastAsia="仿宋_GB2312" w:cs="仿宋_GB2312"/>
                <w:kern w:val="0"/>
                <w:sz w:val="24"/>
                <w:szCs w:val="24"/>
                <w:lang w:eastAsia="zh-CN"/>
              </w:rPr>
            </w:pPr>
            <w:r>
              <w:rPr>
                <w:rFonts w:hint="eastAsia" w:ascii="仿宋_GB2312" w:hAnsi="仿宋_GB2312" w:eastAsia="仿宋_GB2312" w:cs="仿宋_GB2312"/>
                <w:kern w:val="0"/>
                <w:sz w:val="24"/>
                <w:szCs w:val="24"/>
              </w:rPr>
              <w:t>南宁兴典混凝土有限责任公司总会计师</w:t>
            </w:r>
          </w:p>
        </w:tc>
        <w:tc>
          <w:tcPr>
            <w:tcW w:w="885" w:type="dxa"/>
            <w:vAlign w:val="center"/>
          </w:tcPr>
          <w:p>
            <w:pPr>
              <w:widowControl/>
              <w:jc w:val="center"/>
              <w:textAlignment w:val="center"/>
              <w:rPr>
                <w:rFonts w:ascii="仿宋_GB2312" w:hAnsi="宋体" w:eastAsia="仿宋_GB2312" w:cs="仿宋_GB2312"/>
                <w:kern w:val="0"/>
                <w:sz w:val="24"/>
                <w:szCs w:val="24"/>
              </w:rPr>
            </w:pPr>
            <w:r>
              <w:rPr>
                <w:rFonts w:hint="eastAsia" w:ascii="仿宋_GB2312" w:hAnsi="仿宋_GB2312" w:eastAsia="仿宋_GB2312" w:cs="仿宋_GB2312"/>
                <w:kern w:val="0"/>
                <w:sz w:val="24"/>
                <w:szCs w:val="24"/>
                <w:lang w:val="en-US" w:eastAsia="zh-CN"/>
              </w:rPr>
              <w:t>1人</w:t>
            </w:r>
          </w:p>
        </w:tc>
        <w:tc>
          <w:tcPr>
            <w:tcW w:w="4773" w:type="dxa"/>
            <w:vAlign w:val="center"/>
          </w:tcPr>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财务相关</w:t>
            </w:r>
            <w:r>
              <w:rPr>
                <w:rFonts w:hint="eastAsia" w:ascii="仿宋_GB2312" w:hAnsi="仿宋_GB2312" w:eastAsia="仿宋_GB2312" w:cs="仿宋_GB2312"/>
                <w:kern w:val="0"/>
                <w:sz w:val="24"/>
                <w:szCs w:val="24"/>
              </w:rPr>
              <w:t>专业大学本科及以上文化程度。</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财务相关</w:t>
            </w:r>
            <w:r>
              <w:rPr>
                <w:rFonts w:hint="eastAsia" w:ascii="仿宋_GB2312" w:hAnsi="仿宋_GB2312" w:eastAsia="仿宋_GB2312" w:cs="仿宋_GB2312"/>
                <w:kern w:val="0"/>
                <w:sz w:val="24"/>
                <w:szCs w:val="24"/>
              </w:rPr>
              <w:t>专业中级及以上职称或相关职(执)业资格。</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3.年龄不超过45周岁（1978年11月1日之后出生）。</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4.8年以上</w:t>
            </w:r>
            <w:r>
              <w:rPr>
                <w:rFonts w:hint="eastAsia" w:ascii="仿宋_GB2312" w:hAnsi="仿宋_GB2312" w:eastAsia="仿宋_GB2312" w:cs="仿宋_GB2312"/>
                <w:kern w:val="0"/>
                <w:sz w:val="24"/>
                <w:szCs w:val="24"/>
                <w:lang w:eastAsia="zh-CN"/>
              </w:rPr>
              <w:t>财务</w:t>
            </w:r>
            <w:r>
              <w:rPr>
                <w:rFonts w:hint="eastAsia" w:ascii="仿宋_GB2312" w:hAnsi="仿宋_GB2312" w:eastAsia="仿宋_GB2312" w:cs="仿宋_GB2312"/>
                <w:kern w:val="0"/>
                <w:sz w:val="24"/>
                <w:szCs w:val="24"/>
              </w:rPr>
              <w:t>相关工作经历。</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widowControl/>
              <w:jc w:val="both"/>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6.对能力突出、为企业作出重大贡献或业绩特别显著的“90后”年轻干部，可适当放宽以上条件，其中岗级可适当放宽至10级。</w:t>
            </w:r>
          </w:p>
          <w:p>
            <w:pPr>
              <w:widowControl/>
              <w:jc w:val="both"/>
              <w:textAlignment w:val="center"/>
              <w:rPr>
                <w:rFonts w:ascii="仿宋_GB2312" w:hAnsi="宋体" w:eastAsia="仿宋_GB2312" w:cs="仿宋_GB2312"/>
                <w:kern w:val="0"/>
                <w:sz w:val="24"/>
                <w:szCs w:val="24"/>
              </w:rPr>
            </w:pPr>
            <w:r>
              <w:rPr>
                <w:rFonts w:hint="eastAsia" w:ascii="仿宋_GB2312" w:hAnsi="仿宋_GB2312" w:eastAsia="仿宋_GB2312" w:cs="仿宋_GB2312"/>
                <w:kern w:val="0"/>
                <w:sz w:val="24"/>
                <w:szCs w:val="24"/>
              </w:rPr>
              <w:t>7.具有较好的计划能力、综合协调能力、组织沟通能力。</w:t>
            </w:r>
          </w:p>
        </w:tc>
        <w:tc>
          <w:tcPr>
            <w:tcW w:w="5127"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rPr>
              <w:t>1.负责推进本单位司库管理、全面预算管理、全面有效的财务合规风控体系等体系建设；积极推进财务系统与业务系统的融合，确保财务信息贯通和财务管控落地。</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rPr>
              <w:t>2.负责财务预算管理、成本费用管控、税务管理、“两金”管理、资产盘活、财务内部控制与风险管理、财务信息化建设、资金筹措与集中管理、经营绩效评价、债务风险管控等财务会计和金融业务管理工作；</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rPr>
              <w:t>3.监督本单位重大经营决策执行情况和资金使用情况，通过经济活动分析，提出加强和改进经营管理的具体措施。</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rPr>
              <w:t>4.参与重要规章制度的制定，参与本单位“三重一大”事项决策，参与重大经营合同和经济协议的论证审查，对所参与决策或论证事项的经营可行性及潜在风险等发表专业意见。</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rPr>
              <w:t>5.负责财会和资金内部控制建设与实施，建立大额资金联签制度，严格资金授权审批程序；落实财会和资金内部控制责任，对本单位经济活动的全过程进行财务监督和控制；组织建立和完善财务风险预警与控制机制。</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rPr>
            </w:pPr>
            <w:r>
              <w:rPr>
                <w:rFonts w:hint="eastAsia" w:ascii="仿宋_GB2312" w:hAnsi="仿宋_GB2312" w:eastAsia="仿宋_GB2312" w:cs="仿宋_GB2312"/>
              </w:rPr>
              <w:t>6.对违反国家财经法律、法规和企业内部制度，以及有可能在经济上造成损失浪费的行为，有权制止或纠正，制止或纠正无效的，提请企业负责人处理。</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pPr>
            <w:r>
              <w:rPr>
                <w:rFonts w:hint="eastAsia" w:ascii="仿宋_GB2312" w:hAnsi="仿宋_GB2312" w:eastAsia="仿宋_GB2312" w:cs="仿宋_GB2312"/>
              </w:rPr>
              <w:t>7.定期向上级单位报告本单位经营和财务管理情况。对发生的大额经营损失、存在的重大经营风险以及重大决策发表不同意见未被采纳等可能影响国有资产安全的经营事项，在与本单位主要负责人沟通基础上，及时向上级单位报告。</w:t>
            </w:r>
          </w:p>
        </w:tc>
        <w:tc>
          <w:tcPr>
            <w:tcW w:w="1005"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41"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序号</w:t>
            </w:r>
          </w:p>
        </w:tc>
        <w:tc>
          <w:tcPr>
            <w:tcW w:w="1364"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w:t>
            </w:r>
          </w:p>
        </w:tc>
        <w:tc>
          <w:tcPr>
            <w:tcW w:w="885"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人数</w:t>
            </w:r>
          </w:p>
        </w:tc>
        <w:tc>
          <w:tcPr>
            <w:tcW w:w="4773"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任职资格要求</w:t>
            </w:r>
          </w:p>
        </w:tc>
        <w:tc>
          <w:tcPr>
            <w:tcW w:w="5127" w:type="dxa"/>
            <w:vAlign w:val="center"/>
          </w:tcPr>
          <w:p>
            <w:pPr>
              <w:widowControl/>
              <w:jc w:val="center"/>
              <w:textAlignment w:val="center"/>
              <w:rPr>
                <w:rFonts w:ascii="仿宋_GB2312" w:hAnsi="宋体" w:eastAsia="仿宋_GB2312" w:cs="仿宋_GB2312"/>
                <w:kern w:val="0"/>
                <w:szCs w:val="21"/>
              </w:rPr>
            </w:pPr>
            <w:r>
              <w:rPr>
                <w:rFonts w:hint="eastAsia" w:ascii="仿宋_GB2312" w:hAnsi="仿宋_GB2312" w:eastAsia="仿宋_GB2312" w:cs="仿宋_GB2312"/>
                <w:b/>
                <w:kern w:val="0"/>
                <w:sz w:val="24"/>
                <w:szCs w:val="24"/>
              </w:rPr>
              <w:t>岗位职责</w:t>
            </w:r>
          </w:p>
        </w:tc>
        <w:tc>
          <w:tcPr>
            <w:tcW w:w="1005" w:type="dxa"/>
            <w:vAlign w:val="center"/>
          </w:tcPr>
          <w:p>
            <w:pPr>
              <w:widowControl/>
              <w:jc w:val="center"/>
              <w:textAlignment w:val="center"/>
              <w:rPr>
                <w:rFonts w:ascii="仿宋_GB2312"/>
                <w:sz w:val="28"/>
                <w:szCs w:val="28"/>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7" w:hRule="atLeast"/>
        </w:trPr>
        <w:tc>
          <w:tcPr>
            <w:tcW w:w="84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val="en-US" w:eastAsia="zh-CN"/>
              </w:rPr>
              <w:t>4</w:t>
            </w:r>
          </w:p>
        </w:tc>
        <w:tc>
          <w:tcPr>
            <w:tcW w:w="1364"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rPr>
              <w:t>广西中水工程检测有限公司副总经理、总工程师</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1人</w:t>
            </w:r>
          </w:p>
        </w:tc>
        <w:tc>
          <w:tcPr>
            <w:tcW w:w="4773"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1.相关专业大学本科及以上文化程度。</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2.与岗位相适应的从业经历、高级及以上职称或相关职(执)业资格。</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3.年龄不超过45周岁（1978年</w:t>
            </w:r>
            <w:r>
              <w:rPr>
                <w:rFonts w:hint="eastAsia" w:ascii="仿宋_GB2312" w:hAnsi="宋体" w:eastAsia="仿宋_GB2312" w:cs="仿宋_GB2312"/>
                <w:kern w:val="0"/>
                <w:sz w:val="24"/>
                <w:szCs w:val="24"/>
                <w:lang w:val="en-US" w:eastAsia="zh-CN"/>
              </w:rPr>
              <w:t>11</w:t>
            </w:r>
            <w:r>
              <w:rPr>
                <w:rFonts w:hint="eastAsia" w:ascii="仿宋_GB2312" w:hAnsi="宋体" w:eastAsia="仿宋_GB2312" w:cs="仿宋_GB2312"/>
                <w:kern w:val="0"/>
                <w:sz w:val="24"/>
                <w:szCs w:val="24"/>
              </w:rPr>
              <w:t>月1日之后出生）。</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4.累计8年以上相关工作经历。</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5.涉及提拔的，应当在现岗级9级（含原正科级）及以上岗位工作2年以上，未满2年但特别优秀的应当在现岗级9岗位和岗级10（含原副科级）岗位工作累计4年以上。</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6.对能力突出、为企业作出重大贡献或业绩特别显著的“</w:t>
            </w:r>
            <w:r>
              <w:rPr>
                <w:rFonts w:hint="eastAsia" w:ascii="仿宋_GB2312" w:hAnsi="宋体" w:eastAsia="仿宋_GB2312" w:cs="仿宋_GB2312"/>
                <w:kern w:val="0"/>
                <w:sz w:val="24"/>
                <w:szCs w:val="24"/>
                <w:lang w:val="en-US" w:eastAsia="zh-CN"/>
              </w:rPr>
              <w:t>90</w:t>
            </w:r>
            <w:r>
              <w:rPr>
                <w:rFonts w:hint="eastAsia" w:ascii="仿宋_GB2312" w:hAnsi="宋体" w:eastAsia="仿宋_GB2312" w:cs="仿宋_GB2312"/>
                <w:kern w:val="0"/>
                <w:sz w:val="24"/>
                <w:szCs w:val="24"/>
              </w:rPr>
              <w:t>后”年轻干部，可适当放宽以上条件，其中岗级可适当放宽至10级。</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7.具有较好的计划能力、综合协调能力、组织沟通能力。</w:t>
            </w:r>
          </w:p>
        </w:tc>
        <w:tc>
          <w:tcPr>
            <w:tcW w:w="5127"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1.作为公司检测技术负责人，协助总经理负责公司的检测工程技术管理工作。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2.参与企业重大问题的决策和生产经营活动，协同开展企业管理工作，协助总经理开展市场开发工作。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3.负责组织制订公司技术、质量及年度实施计划。</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4.协助总经理做好安全管理工作及全面质量、环保管理工作。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5.负责公司技术、质量、资质、设备物资管理、集采供应链、技术研发</w:t>
            </w:r>
            <w:r>
              <w:rPr>
                <w:rFonts w:hint="eastAsia" w:ascii="仿宋_GB2312" w:hAnsi="宋体" w:eastAsia="仿宋_GB2312" w:cs="仿宋_GB2312"/>
                <w:kern w:val="0"/>
                <w:sz w:val="24"/>
                <w:szCs w:val="24"/>
                <w:lang w:val="en-US" w:eastAsia="zh-CN"/>
              </w:rPr>
              <w:t>工作</w:t>
            </w:r>
            <w:bookmarkStart w:id="0" w:name="_GoBack"/>
            <w:bookmarkEnd w:id="0"/>
            <w:r>
              <w:rPr>
                <w:rFonts w:hint="eastAsia" w:ascii="仿宋_GB2312" w:hAnsi="宋体" w:eastAsia="仿宋_GB2312" w:cs="仿宋_GB2312"/>
                <w:kern w:val="0"/>
                <w:sz w:val="24"/>
                <w:szCs w:val="24"/>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6.负责公司国内外项目试验室组建及试验检测工作指导，及时解决检测过程中出现的重大技术问题。负责重大质量事故的鉴定和处理工作。</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7.组织学习、研究和引进国内外先进技术，指导科研、技术革新、技术交流、技术培训等工作。</w:t>
            </w:r>
          </w:p>
        </w:tc>
        <w:tc>
          <w:tcPr>
            <w:tcW w:w="1005" w:type="dxa"/>
            <w:vAlign w:val="center"/>
          </w:tcPr>
          <w:p>
            <w:pPr>
              <w:widowControl/>
              <w:jc w:val="center"/>
              <w:textAlignment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205" w:type="dxa"/>
            <w:gridSpan w:val="2"/>
            <w:vAlign w:val="center"/>
          </w:tcPr>
          <w:p>
            <w:pPr>
              <w:widowControl/>
              <w:jc w:val="center"/>
              <w:textAlignment w:val="center"/>
              <w:rPr>
                <w:rFonts w:ascii="仿宋_GB2312" w:hAnsi="宋体" w:eastAsia="仿宋_GB2312" w:cs="仿宋_GB2312"/>
                <w:b/>
                <w:bCs/>
                <w:kern w:val="0"/>
                <w:szCs w:val="21"/>
              </w:rPr>
            </w:pPr>
            <w:r>
              <w:rPr>
                <w:rFonts w:hint="eastAsia" w:ascii="仿宋_GB2312" w:hAnsi="宋体" w:eastAsia="仿宋_GB2312" w:cs="仿宋_GB2312"/>
                <w:b/>
                <w:bCs/>
                <w:kern w:val="0"/>
                <w:szCs w:val="21"/>
              </w:rPr>
              <w:t>合计</w:t>
            </w:r>
          </w:p>
        </w:tc>
        <w:tc>
          <w:tcPr>
            <w:tcW w:w="885" w:type="dxa"/>
            <w:vAlign w:val="center"/>
          </w:tcPr>
          <w:p>
            <w:pPr>
              <w:widowControl/>
              <w:jc w:val="center"/>
              <w:textAlignment w:val="center"/>
              <w:rPr>
                <w:rFonts w:hint="eastAsia" w:ascii="仿宋_GB2312" w:hAnsi="宋体" w:eastAsia="仿宋_GB2312" w:cs="仿宋_GB2312"/>
                <w:b/>
                <w:bCs/>
                <w:kern w:val="0"/>
                <w:szCs w:val="21"/>
                <w:lang w:val="en-US" w:eastAsia="zh-CN"/>
              </w:rPr>
            </w:pPr>
            <w:r>
              <w:rPr>
                <w:rFonts w:hint="eastAsia" w:ascii="仿宋_GB2312" w:hAnsi="宋体" w:eastAsia="仿宋_GB2312" w:cs="仿宋_GB2312"/>
                <w:b/>
                <w:bCs/>
                <w:kern w:val="0"/>
                <w:szCs w:val="21"/>
                <w:lang w:val="en-US" w:eastAsia="zh-CN"/>
              </w:rPr>
              <w:t>5人</w:t>
            </w:r>
          </w:p>
        </w:tc>
        <w:tc>
          <w:tcPr>
            <w:tcW w:w="4773" w:type="dxa"/>
            <w:vAlign w:val="center"/>
          </w:tcPr>
          <w:p>
            <w:pPr>
              <w:widowControl/>
              <w:jc w:val="left"/>
              <w:textAlignment w:val="center"/>
              <w:rPr>
                <w:rFonts w:ascii="仿宋_GB2312" w:hAnsi="宋体" w:eastAsia="仿宋_GB2312" w:cs="仿宋_GB2312"/>
                <w:kern w:val="0"/>
                <w:szCs w:val="21"/>
              </w:rPr>
            </w:pPr>
          </w:p>
        </w:tc>
        <w:tc>
          <w:tcPr>
            <w:tcW w:w="5127" w:type="dxa"/>
            <w:vAlign w:val="center"/>
          </w:tcPr>
          <w:p>
            <w:pPr>
              <w:widowControl/>
              <w:jc w:val="left"/>
              <w:textAlignment w:val="center"/>
              <w:rPr>
                <w:rFonts w:ascii="仿宋_GB2312" w:hAnsi="宋体" w:eastAsia="仿宋_GB2312" w:cs="仿宋_GB2312"/>
                <w:kern w:val="0"/>
                <w:szCs w:val="21"/>
              </w:rPr>
            </w:pPr>
          </w:p>
        </w:tc>
        <w:tc>
          <w:tcPr>
            <w:tcW w:w="1005" w:type="dxa"/>
            <w:vAlign w:val="center"/>
          </w:tcPr>
          <w:p>
            <w:pPr>
              <w:widowControl/>
              <w:jc w:val="center"/>
              <w:textAlignment w:val="center"/>
              <w:rPr>
                <w:rFonts w:ascii="仿宋_GB2312" w:hAnsi="宋体" w:eastAsia="仿宋_GB2312" w:cs="仿宋_GB2312"/>
                <w:kern w:val="0"/>
                <w:szCs w:val="21"/>
              </w:rPr>
            </w:pPr>
          </w:p>
        </w:tc>
      </w:tr>
    </w:tbl>
    <w:p/>
    <w:sectPr>
      <w:footerReference r:id="rId3" w:type="default"/>
      <w:pgSz w:w="16838" w:h="11906" w:orient="landscape"/>
      <w:pgMar w:top="1587" w:right="1474" w:bottom="1587" w:left="1587"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15.65pt;height:17.6pt;width:35.3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forms" w:enforcement="0"/>
  <w:defaultTabStop w:val="420"/>
  <w:drawingGridVerticalSpacing w:val="16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yODdiZTA2MGZkZjcwOTgxODI5MmEzNzk5MDdhYTkifQ=="/>
  </w:docVars>
  <w:rsids>
    <w:rsidRoot w:val="4C3D6FA8"/>
    <w:rsid w:val="00A27C73"/>
    <w:rsid w:val="00AB176E"/>
    <w:rsid w:val="00B65672"/>
    <w:rsid w:val="00CA2210"/>
    <w:rsid w:val="010757A5"/>
    <w:rsid w:val="07FD5D01"/>
    <w:rsid w:val="08D94D4E"/>
    <w:rsid w:val="0AA00666"/>
    <w:rsid w:val="0B5D7332"/>
    <w:rsid w:val="0B5E06F0"/>
    <w:rsid w:val="0D72202B"/>
    <w:rsid w:val="0D8B4322"/>
    <w:rsid w:val="11292CE9"/>
    <w:rsid w:val="13833596"/>
    <w:rsid w:val="13F00F62"/>
    <w:rsid w:val="14F6522D"/>
    <w:rsid w:val="16DF6675"/>
    <w:rsid w:val="1824197A"/>
    <w:rsid w:val="184C55D7"/>
    <w:rsid w:val="19F40E2D"/>
    <w:rsid w:val="1B0B1D41"/>
    <w:rsid w:val="1C295A11"/>
    <w:rsid w:val="1DB00E47"/>
    <w:rsid w:val="1E7E6E90"/>
    <w:rsid w:val="1EB54031"/>
    <w:rsid w:val="1FDC43B1"/>
    <w:rsid w:val="2162724E"/>
    <w:rsid w:val="220725E0"/>
    <w:rsid w:val="221369A1"/>
    <w:rsid w:val="23C913EF"/>
    <w:rsid w:val="2E1F0DB8"/>
    <w:rsid w:val="2F6D763E"/>
    <w:rsid w:val="30815CE6"/>
    <w:rsid w:val="35F25B89"/>
    <w:rsid w:val="39215D37"/>
    <w:rsid w:val="3B0E1700"/>
    <w:rsid w:val="3CF135B1"/>
    <w:rsid w:val="3D75611D"/>
    <w:rsid w:val="43023801"/>
    <w:rsid w:val="43CB68D8"/>
    <w:rsid w:val="44D01A3C"/>
    <w:rsid w:val="49662783"/>
    <w:rsid w:val="4B0059EB"/>
    <w:rsid w:val="4C3D6FA8"/>
    <w:rsid w:val="4D6D11B6"/>
    <w:rsid w:val="4E5D0445"/>
    <w:rsid w:val="51F20B32"/>
    <w:rsid w:val="52C60891"/>
    <w:rsid w:val="53756096"/>
    <w:rsid w:val="54A45B76"/>
    <w:rsid w:val="57A47A85"/>
    <w:rsid w:val="5A2F5F62"/>
    <w:rsid w:val="5A993A0A"/>
    <w:rsid w:val="5B6062C0"/>
    <w:rsid w:val="5B9869EF"/>
    <w:rsid w:val="5D13037F"/>
    <w:rsid w:val="5FBA3E3A"/>
    <w:rsid w:val="623B6EE5"/>
    <w:rsid w:val="62956E42"/>
    <w:rsid w:val="64263357"/>
    <w:rsid w:val="64C077A3"/>
    <w:rsid w:val="65B740EF"/>
    <w:rsid w:val="65E25CF5"/>
    <w:rsid w:val="69370D1F"/>
    <w:rsid w:val="6A55307A"/>
    <w:rsid w:val="6B9C0775"/>
    <w:rsid w:val="6ECD5A9C"/>
    <w:rsid w:val="725361E2"/>
    <w:rsid w:val="72966C0C"/>
    <w:rsid w:val="72ED7D67"/>
    <w:rsid w:val="741728EF"/>
    <w:rsid w:val="74357BB6"/>
    <w:rsid w:val="75647EFD"/>
    <w:rsid w:val="785944A0"/>
    <w:rsid w:val="7AD12289"/>
    <w:rsid w:val="7B010ED4"/>
    <w:rsid w:val="7D0574B7"/>
    <w:rsid w:val="7E1B1E5A"/>
    <w:rsid w:val="7E6127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3"/>
    <w:unhideWhenUsed/>
    <w:qFormat/>
    <w:uiPriority w:val="99"/>
    <w:pPr>
      <w:spacing w:after="120" w:line="480" w:lineRule="auto"/>
      <w:ind w:left="420" w:leftChars="200"/>
    </w:pPr>
  </w:style>
  <w:style w:type="paragraph" w:styleId="3">
    <w:name w:val="Body Text Indent"/>
    <w:basedOn w:val="1"/>
    <w:link w:val="14"/>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0"/>
    <w:rPr>
      <w:color w:val="0000FF"/>
      <w:u w:val="single"/>
    </w:rPr>
  </w:style>
  <w:style w:type="paragraph" w:customStyle="1" w:styleId="11">
    <w:name w:val="样式 正文 + 首行缩进:  2 字符"/>
    <w:basedOn w:val="12"/>
    <w:next w:val="12"/>
    <w:qFormat/>
    <w:uiPriority w:val="0"/>
    <w:pPr>
      <w:keepNext/>
      <w:keepLines/>
      <w:spacing w:line="360" w:lineRule="auto"/>
      <w:ind w:firstLine="880" w:firstLineChars="200"/>
      <w:jc w:val="left"/>
    </w:pPr>
    <w:rPr>
      <w:rFonts w:ascii="宋体" w:hAnsi="宋体"/>
      <w:kern w:val="0"/>
    </w:rPr>
  </w:style>
  <w:style w:type="paragraph" w:customStyle="1" w:styleId="12">
    <w:name w:val="正文1"/>
    <w:qFormat/>
    <w:uiPriority w:val="0"/>
    <w:pPr>
      <w:jc w:val="both"/>
    </w:pPr>
    <w:rPr>
      <w:rFonts w:ascii="Calibri" w:hAnsi="Calibri" w:eastAsia="宋体" w:cs="宋体"/>
      <w:kern w:val="2"/>
      <w:sz w:val="21"/>
      <w:szCs w:val="21"/>
      <w:lang w:val="en-US" w:eastAsia="zh-CN" w:bidi="ar-SA"/>
    </w:rPr>
  </w:style>
  <w:style w:type="character" w:customStyle="1" w:styleId="13">
    <w:name w:val="正文文本缩进 2 Char"/>
    <w:basedOn w:val="9"/>
    <w:link w:val="2"/>
    <w:qFormat/>
    <w:uiPriority w:val="0"/>
    <w:rPr>
      <w:rFonts w:hint="default" w:ascii="Calibri" w:hAnsi="Calibri" w:eastAsia="宋体" w:cs="Times New Roman"/>
      <w:kern w:val="2"/>
      <w:sz w:val="21"/>
      <w:szCs w:val="22"/>
    </w:rPr>
  </w:style>
  <w:style w:type="character" w:customStyle="1" w:styleId="14">
    <w:name w:val="正文文本缩进 Char"/>
    <w:basedOn w:val="9"/>
    <w:link w:val="3"/>
    <w:qFormat/>
    <w:uiPriority w:val="0"/>
    <w:rPr>
      <w:rFonts w:hint="default" w:ascii="Times New Roman" w:hAnsi="Times New Roman" w:eastAsia="仿宋_GB2312" w:cs="Times New Roman"/>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845</Words>
  <Characters>4822</Characters>
  <Lines>40</Lines>
  <Paragraphs>11</Paragraphs>
  <TotalTime>41</TotalTime>
  <ScaleCrop>false</ScaleCrop>
  <LinksUpToDate>false</LinksUpToDate>
  <CharactersWithSpaces>5656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2021-10-19T02:17:00Z</dcterms:created>
  <dc:creator>官威</dc:creator>
  <cp:lastModifiedBy>Kelly</cp:lastModifiedBy>
  <cp:lastPrinted>2023-08-07T01:17:00Z</cp:lastPrinted>
  <dcterms:modified xsi:type="dcterms:W3CDTF">2023-11-19T04:25:55Z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3DEF5F0FDD494B13B5DBED5E9CB69F05_12</vt:lpwstr>
  </property>
</Properties>
</file>