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00F" w:rsidRPr="00633ABB" w:rsidRDefault="00F24BC7" w:rsidP="00E95C71">
      <w:pPr>
        <w:widowControl/>
        <w:spacing w:line="450" w:lineRule="atLeast"/>
        <w:jc w:val="center"/>
        <w:rPr>
          <w:rFonts w:ascii="方正小标宋简体" w:eastAsia="方正小标宋简体" w:hAnsi="宋体"/>
          <w:bCs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宋体" w:cs="宋体" w:hint="eastAsia"/>
          <w:bCs/>
          <w:color w:val="000000"/>
          <w:kern w:val="0"/>
          <w:sz w:val="44"/>
          <w:szCs w:val="44"/>
        </w:rPr>
        <w:t>中国能建集团</w:t>
      </w:r>
      <w:r w:rsidR="0006000F" w:rsidRPr="00633ABB">
        <w:rPr>
          <w:rFonts w:ascii="方正小标宋简体" w:eastAsia="方正小标宋简体" w:hAnsi="宋体" w:cs="宋体" w:hint="eastAsia"/>
          <w:bCs/>
          <w:color w:val="000000"/>
          <w:kern w:val="0"/>
          <w:sz w:val="44"/>
          <w:szCs w:val="44"/>
        </w:rPr>
        <w:t>北京医院简介</w:t>
      </w:r>
    </w:p>
    <w:p w:rsidR="0006000F" w:rsidRPr="00633ABB" w:rsidRDefault="0006000F" w:rsidP="00633ABB">
      <w:pPr>
        <w:widowControl/>
        <w:spacing w:line="560" w:lineRule="exact"/>
        <w:jc w:val="center"/>
        <w:rPr>
          <w:rFonts w:ascii="宋体" w:eastAsia="宋体" w:hAnsi="宋体"/>
          <w:color w:val="000000"/>
          <w:kern w:val="0"/>
          <w:sz w:val="32"/>
          <w:szCs w:val="32"/>
        </w:rPr>
      </w:pPr>
    </w:p>
    <w:p w:rsidR="0006000F" w:rsidRPr="00633ABB" w:rsidRDefault="00F24BC7" w:rsidP="00633ABB">
      <w:pPr>
        <w:widowControl/>
        <w:spacing w:line="560" w:lineRule="exact"/>
        <w:ind w:firstLineChars="200" w:firstLine="640"/>
        <w:rPr>
          <w:rFonts w:ascii="仿宋_GB2312" w:hAnsi="宋体"/>
          <w:color w:val="000000"/>
          <w:kern w:val="0"/>
          <w:sz w:val="32"/>
          <w:szCs w:val="32"/>
        </w:rPr>
      </w:pPr>
      <w:r>
        <w:rPr>
          <w:rFonts w:ascii="仿宋_GB2312" w:hAnsi="Arial" w:cs="仿宋_GB2312" w:hint="eastAsia"/>
          <w:color w:val="000000"/>
          <w:kern w:val="0"/>
          <w:sz w:val="32"/>
          <w:szCs w:val="32"/>
        </w:rPr>
        <w:t>中国能建集团</w:t>
      </w:r>
      <w:r w:rsidR="0006000F" w:rsidRPr="00633ABB">
        <w:rPr>
          <w:rFonts w:ascii="仿宋_GB2312" w:hAnsi="Arial" w:cs="仿宋_GB2312" w:hint="eastAsia"/>
          <w:color w:val="000000"/>
          <w:kern w:val="0"/>
          <w:sz w:val="32"/>
          <w:szCs w:val="32"/>
        </w:rPr>
        <w:t>北京医院（原北京电力设备总厂职工医院）位于房山区政府所在地良乡体育场路</w:t>
      </w:r>
      <w:r w:rsidR="0006000F" w:rsidRPr="00633ABB">
        <w:rPr>
          <w:rFonts w:ascii="仿宋_GB2312" w:hAnsi="Arial" w:cs="仿宋_GB2312"/>
          <w:color w:val="000000"/>
          <w:kern w:val="0"/>
          <w:sz w:val="32"/>
          <w:szCs w:val="32"/>
        </w:rPr>
        <w:t>1</w:t>
      </w:r>
      <w:r w:rsidR="0006000F" w:rsidRPr="00633ABB">
        <w:rPr>
          <w:rFonts w:ascii="仿宋_GB2312" w:hAnsi="Arial" w:cs="仿宋_GB2312" w:hint="eastAsia"/>
          <w:color w:val="000000"/>
          <w:kern w:val="0"/>
          <w:sz w:val="32"/>
          <w:szCs w:val="32"/>
        </w:rPr>
        <w:t>号，是一所设施完善、门类齐全，具有各种诊疗、手术和抢救能力的综合性一级甲等医院，隶属于中国能建集团投资管理中心，是北京市基本医疗保险定点医疗机构。医院具有较强的技术力量和硬件设施。现有主任医师</w:t>
      </w:r>
      <w:r w:rsidR="0006000F" w:rsidRPr="00633ABB">
        <w:rPr>
          <w:rFonts w:ascii="仿宋_GB2312" w:hAnsi="Arial" w:cs="仿宋_GB2312"/>
          <w:color w:val="000000"/>
          <w:kern w:val="0"/>
          <w:sz w:val="32"/>
          <w:szCs w:val="32"/>
        </w:rPr>
        <w:t>4</w:t>
      </w:r>
      <w:r w:rsidR="0006000F" w:rsidRPr="00633ABB">
        <w:rPr>
          <w:rFonts w:ascii="仿宋_GB2312" w:hAnsi="Arial" w:cs="仿宋_GB2312" w:hint="eastAsia"/>
          <w:color w:val="000000"/>
          <w:kern w:val="0"/>
          <w:sz w:val="32"/>
          <w:szCs w:val="32"/>
        </w:rPr>
        <w:t>人，副主任医师</w:t>
      </w:r>
      <w:r w:rsidR="0006000F" w:rsidRPr="00633ABB">
        <w:rPr>
          <w:rFonts w:ascii="仿宋_GB2312" w:hAnsi="Arial" w:cs="仿宋_GB2312"/>
          <w:color w:val="000000"/>
          <w:kern w:val="0"/>
          <w:sz w:val="32"/>
          <w:szCs w:val="32"/>
        </w:rPr>
        <w:t>8</w:t>
      </w:r>
      <w:r w:rsidR="0006000F" w:rsidRPr="00633ABB">
        <w:rPr>
          <w:rFonts w:ascii="仿宋_GB2312" w:hAnsi="Arial" w:cs="仿宋_GB2312" w:hint="eastAsia"/>
          <w:color w:val="000000"/>
          <w:kern w:val="0"/>
          <w:sz w:val="32"/>
          <w:szCs w:val="32"/>
        </w:rPr>
        <w:t>人，主治医师</w:t>
      </w:r>
      <w:r w:rsidR="0006000F" w:rsidRPr="00633ABB">
        <w:rPr>
          <w:rFonts w:ascii="仿宋_GB2312" w:hAnsi="Arial" w:cs="仿宋_GB2312"/>
          <w:color w:val="000000"/>
          <w:kern w:val="0"/>
          <w:sz w:val="32"/>
          <w:szCs w:val="32"/>
        </w:rPr>
        <w:t>14</w:t>
      </w:r>
      <w:r w:rsidR="0006000F" w:rsidRPr="00633ABB">
        <w:rPr>
          <w:rFonts w:ascii="仿宋_GB2312" w:hAnsi="Arial" w:cs="仿宋_GB2312" w:hint="eastAsia"/>
          <w:color w:val="000000"/>
          <w:kern w:val="0"/>
          <w:sz w:val="32"/>
          <w:szCs w:val="32"/>
        </w:rPr>
        <w:t>人。另外，医院长期聘请北京友谊医院专家、北京广安门中医院专家、眼科专家在我院坐诊；与北京电力总医院建立了检查、治疗、抢救的绿色通道。</w:t>
      </w:r>
    </w:p>
    <w:p w:rsidR="0006000F" w:rsidRPr="00633ABB" w:rsidRDefault="0006000F" w:rsidP="00633ABB">
      <w:pPr>
        <w:widowControl/>
        <w:spacing w:line="560" w:lineRule="exact"/>
        <w:ind w:firstLineChars="200" w:firstLine="640"/>
        <w:rPr>
          <w:rFonts w:ascii="仿宋_GB2312" w:hAnsi="宋体"/>
          <w:color w:val="000000"/>
          <w:kern w:val="0"/>
          <w:sz w:val="32"/>
          <w:szCs w:val="32"/>
        </w:rPr>
      </w:pPr>
      <w:r w:rsidRPr="00633ABB">
        <w:rPr>
          <w:rFonts w:ascii="仿宋_GB2312" w:hAnsi="Arial" w:cs="仿宋_GB2312" w:hint="eastAsia"/>
          <w:color w:val="000000"/>
          <w:kern w:val="0"/>
          <w:sz w:val="32"/>
          <w:szCs w:val="32"/>
        </w:rPr>
        <w:t>本院设有内、外、妇、儿、中医、皮肤科、口腔、五官、眼科、康复、透析、急诊抢救等</w:t>
      </w:r>
      <w:r w:rsidRPr="00633ABB">
        <w:rPr>
          <w:rFonts w:ascii="仿宋_GB2312" w:hAnsi="Arial" w:cs="仿宋_GB2312"/>
          <w:color w:val="000000"/>
          <w:kern w:val="0"/>
          <w:sz w:val="32"/>
          <w:szCs w:val="32"/>
        </w:rPr>
        <w:t>17</w:t>
      </w:r>
      <w:r w:rsidRPr="00633ABB">
        <w:rPr>
          <w:rFonts w:ascii="仿宋_GB2312" w:hAnsi="Arial" w:cs="仿宋_GB2312" w:hint="eastAsia"/>
          <w:color w:val="000000"/>
          <w:kern w:val="0"/>
          <w:sz w:val="32"/>
          <w:szCs w:val="32"/>
        </w:rPr>
        <w:t>个临床科室和一个社区卫生服务站；设有中医专家门诊以及药剂、检验、放射、超声等医技科室，拥有</w:t>
      </w:r>
      <w:r w:rsidRPr="00633ABB">
        <w:rPr>
          <w:rFonts w:ascii="仿宋_GB2312" w:hAnsi="Arial" w:cs="仿宋_GB2312"/>
          <w:color w:val="000000"/>
          <w:kern w:val="0"/>
          <w:sz w:val="32"/>
          <w:szCs w:val="32"/>
        </w:rPr>
        <w:t>CT</w:t>
      </w:r>
      <w:r w:rsidRPr="00633ABB">
        <w:rPr>
          <w:rFonts w:ascii="仿宋_GB2312" w:hAnsi="Arial" w:cs="仿宋_GB2312" w:hint="eastAsia"/>
          <w:color w:val="000000"/>
          <w:kern w:val="0"/>
          <w:sz w:val="32"/>
          <w:szCs w:val="32"/>
        </w:rPr>
        <w:t>、</w:t>
      </w:r>
      <w:r w:rsidRPr="00633ABB">
        <w:rPr>
          <w:rFonts w:ascii="仿宋_GB2312" w:hAnsi="Arial" w:cs="仿宋_GB2312"/>
          <w:color w:val="000000"/>
          <w:kern w:val="0"/>
          <w:sz w:val="32"/>
          <w:szCs w:val="32"/>
        </w:rPr>
        <w:t>CR</w:t>
      </w:r>
      <w:r w:rsidRPr="00633ABB">
        <w:rPr>
          <w:rFonts w:ascii="仿宋_GB2312" w:hAnsi="Arial" w:cs="仿宋_GB2312" w:hint="eastAsia"/>
          <w:color w:val="000000"/>
          <w:kern w:val="0"/>
          <w:sz w:val="32"/>
          <w:szCs w:val="32"/>
        </w:rPr>
        <w:t>、彩超、经颅多普勒超声，胃肠镜、多导心电图机等设备。</w:t>
      </w:r>
      <w:r w:rsidRPr="00633ABB">
        <w:rPr>
          <w:rFonts w:ascii="Arial" w:hAnsi="Arial" w:cs="Arial"/>
          <w:color w:val="000000"/>
          <w:kern w:val="0"/>
          <w:sz w:val="32"/>
          <w:szCs w:val="32"/>
        </w:rPr>
        <w:t> </w:t>
      </w:r>
      <w:r w:rsidRPr="00633ABB">
        <w:rPr>
          <w:rFonts w:ascii="仿宋_GB2312" w:hAnsi="宋体" w:cs="仿宋_GB2312" w:hint="eastAsia"/>
          <w:color w:val="000000"/>
          <w:kern w:val="0"/>
          <w:sz w:val="32"/>
          <w:szCs w:val="32"/>
        </w:rPr>
        <w:t>同时开设五个病区，共</w:t>
      </w:r>
      <w:r w:rsidRPr="00633ABB">
        <w:rPr>
          <w:rFonts w:ascii="仿宋_GB2312" w:hAnsi="宋体" w:cs="仿宋_GB2312"/>
          <w:color w:val="000000"/>
          <w:kern w:val="0"/>
          <w:sz w:val="32"/>
          <w:szCs w:val="32"/>
        </w:rPr>
        <w:t>150</w:t>
      </w:r>
      <w:r w:rsidRPr="00633ABB">
        <w:rPr>
          <w:rFonts w:ascii="仿宋_GB2312" w:hAnsi="宋体" w:cs="仿宋_GB2312" w:hint="eastAsia"/>
          <w:color w:val="000000"/>
          <w:kern w:val="0"/>
          <w:sz w:val="32"/>
          <w:szCs w:val="32"/>
        </w:rPr>
        <w:t>张床位；</w:t>
      </w:r>
      <w:r w:rsidRPr="00633ABB">
        <w:rPr>
          <w:rFonts w:ascii="仿宋_GB2312" w:hAnsi="Arial" w:cs="仿宋_GB2312" w:hint="eastAsia"/>
          <w:color w:val="000000"/>
          <w:kern w:val="0"/>
          <w:sz w:val="32"/>
          <w:szCs w:val="32"/>
        </w:rPr>
        <w:t>病房主要业务为：内</w:t>
      </w:r>
      <w:r w:rsidRPr="00633ABB">
        <w:rPr>
          <w:rFonts w:ascii="仿宋_GB2312" w:hAnsi="Arial" w:cs="仿宋_GB2312"/>
          <w:color w:val="000000"/>
          <w:kern w:val="0"/>
          <w:sz w:val="32"/>
          <w:szCs w:val="32"/>
        </w:rPr>
        <w:t>1</w:t>
      </w:r>
      <w:r w:rsidRPr="00633ABB">
        <w:rPr>
          <w:rFonts w:ascii="仿宋_GB2312" w:hAnsi="Arial" w:cs="仿宋_GB2312" w:hint="eastAsia"/>
          <w:color w:val="000000"/>
          <w:kern w:val="0"/>
          <w:sz w:val="32"/>
          <w:szCs w:val="32"/>
        </w:rPr>
        <w:t>病房心血管方向及呼吸方向，内</w:t>
      </w:r>
      <w:r w:rsidRPr="00633ABB">
        <w:rPr>
          <w:rFonts w:ascii="仿宋_GB2312" w:hAnsi="Arial" w:cs="仿宋_GB2312"/>
          <w:color w:val="000000"/>
          <w:kern w:val="0"/>
          <w:sz w:val="32"/>
          <w:szCs w:val="32"/>
        </w:rPr>
        <w:t>2</w:t>
      </w:r>
      <w:r w:rsidRPr="00633ABB">
        <w:rPr>
          <w:rFonts w:ascii="仿宋_GB2312" w:hAnsi="Arial" w:cs="仿宋_GB2312" w:hint="eastAsia"/>
          <w:color w:val="000000"/>
          <w:kern w:val="0"/>
          <w:sz w:val="32"/>
          <w:szCs w:val="32"/>
        </w:rPr>
        <w:t>病房神经内科及康复方向，内</w:t>
      </w:r>
      <w:r w:rsidRPr="00633ABB">
        <w:rPr>
          <w:rFonts w:ascii="仿宋_GB2312" w:hAnsi="Arial" w:cs="仿宋_GB2312"/>
          <w:color w:val="000000"/>
          <w:kern w:val="0"/>
          <w:sz w:val="32"/>
          <w:szCs w:val="32"/>
        </w:rPr>
        <w:t>3</w:t>
      </w:r>
      <w:r w:rsidRPr="00633ABB">
        <w:rPr>
          <w:rFonts w:ascii="仿宋_GB2312" w:hAnsi="Arial" w:cs="仿宋_GB2312" w:hint="eastAsia"/>
          <w:color w:val="000000"/>
          <w:kern w:val="0"/>
          <w:sz w:val="32"/>
          <w:szCs w:val="32"/>
        </w:rPr>
        <w:t>病房内分泌及肾病方向，内</w:t>
      </w:r>
      <w:r w:rsidRPr="00633ABB">
        <w:rPr>
          <w:rFonts w:ascii="仿宋_GB2312" w:hAnsi="Arial" w:cs="仿宋_GB2312"/>
          <w:color w:val="000000"/>
          <w:kern w:val="0"/>
          <w:sz w:val="32"/>
          <w:szCs w:val="32"/>
        </w:rPr>
        <w:t>4</w:t>
      </w:r>
      <w:r w:rsidRPr="00633ABB">
        <w:rPr>
          <w:rFonts w:ascii="仿宋_GB2312" w:hAnsi="Arial" w:cs="仿宋_GB2312" w:hint="eastAsia"/>
          <w:color w:val="000000"/>
          <w:kern w:val="0"/>
          <w:sz w:val="32"/>
          <w:szCs w:val="32"/>
        </w:rPr>
        <w:t>病房中西医结合方向，外科病房普外方向。</w:t>
      </w:r>
    </w:p>
    <w:p w:rsidR="0006000F" w:rsidRPr="00633ABB" w:rsidRDefault="0006000F" w:rsidP="00633ABB">
      <w:pPr>
        <w:spacing w:line="560" w:lineRule="exact"/>
        <w:ind w:leftChars="300" w:left="840"/>
        <w:rPr>
          <w:rFonts w:ascii="仿宋_GB2312" w:hAnsi="Arial"/>
          <w:color w:val="000000"/>
          <w:kern w:val="0"/>
          <w:sz w:val="32"/>
          <w:szCs w:val="32"/>
        </w:rPr>
      </w:pPr>
      <w:r w:rsidRPr="00633ABB">
        <w:rPr>
          <w:rFonts w:ascii="仿宋_GB2312" w:hAnsi="Arial" w:cs="仿宋_GB2312" w:hint="eastAsia"/>
          <w:color w:val="000000"/>
          <w:kern w:val="0"/>
          <w:sz w:val="32"/>
          <w:szCs w:val="32"/>
        </w:rPr>
        <w:t>联</w:t>
      </w:r>
      <w:r w:rsidRPr="00633ABB">
        <w:rPr>
          <w:rFonts w:ascii="仿宋_GB2312" w:hAnsi="Arial" w:cs="仿宋_GB2312"/>
          <w:color w:val="000000"/>
          <w:kern w:val="0"/>
          <w:sz w:val="32"/>
          <w:szCs w:val="32"/>
        </w:rPr>
        <w:t xml:space="preserve"> </w:t>
      </w:r>
      <w:r w:rsidRPr="00633ABB">
        <w:rPr>
          <w:rFonts w:ascii="仿宋_GB2312" w:hAnsi="Arial" w:cs="仿宋_GB2312" w:hint="eastAsia"/>
          <w:color w:val="000000"/>
          <w:kern w:val="0"/>
          <w:sz w:val="32"/>
          <w:szCs w:val="32"/>
        </w:rPr>
        <w:t>系</w:t>
      </w:r>
      <w:r w:rsidRPr="00633ABB">
        <w:rPr>
          <w:rFonts w:ascii="仿宋_GB2312" w:hAnsi="Arial" w:cs="仿宋_GB2312"/>
          <w:color w:val="000000"/>
          <w:kern w:val="0"/>
          <w:sz w:val="32"/>
          <w:szCs w:val="32"/>
        </w:rPr>
        <w:t xml:space="preserve"> </w:t>
      </w:r>
      <w:r w:rsidRPr="00633ABB">
        <w:rPr>
          <w:rFonts w:ascii="仿宋_GB2312" w:hAnsi="Arial" w:cs="仿宋_GB2312" w:hint="eastAsia"/>
          <w:color w:val="000000"/>
          <w:kern w:val="0"/>
          <w:sz w:val="32"/>
          <w:szCs w:val="32"/>
        </w:rPr>
        <w:t>人：吴娟老师</w:t>
      </w:r>
    </w:p>
    <w:p w:rsidR="0006000F" w:rsidRPr="00633ABB" w:rsidRDefault="0006000F" w:rsidP="00633ABB">
      <w:pPr>
        <w:spacing w:line="560" w:lineRule="exact"/>
        <w:ind w:leftChars="300" w:left="840"/>
        <w:rPr>
          <w:rFonts w:ascii="仿宋_GB2312" w:hAnsi="Arial" w:cs="仿宋_GB2312"/>
          <w:color w:val="000000"/>
          <w:kern w:val="0"/>
          <w:sz w:val="32"/>
          <w:szCs w:val="32"/>
        </w:rPr>
      </w:pPr>
      <w:r w:rsidRPr="00633ABB">
        <w:rPr>
          <w:rFonts w:ascii="仿宋_GB2312" w:hAnsi="Arial" w:cs="仿宋_GB2312" w:hint="eastAsia"/>
          <w:color w:val="000000"/>
          <w:kern w:val="0"/>
          <w:sz w:val="32"/>
          <w:szCs w:val="32"/>
        </w:rPr>
        <w:t>联系电话：</w:t>
      </w:r>
      <w:r w:rsidRPr="00633ABB">
        <w:rPr>
          <w:rFonts w:ascii="仿宋_GB2312" w:hAnsi="Arial" w:cs="仿宋_GB2312"/>
          <w:color w:val="000000"/>
          <w:kern w:val="0"/>
          <w:sz w:val="32"/>
          <w:szCs w:val="32"/>
        </w:rPr>
        <w:t>010-51158904</w:t>
      </w:r>
    </w:p>
    <w:p w:rsidR="0006000F" w:rsidRPr="00633ABB" w:rsidRDefault="0006000F" w:rsidP="00633ABB">
      <w:pPr>
        <w:spacing w:line="560" w:lineRule="exact"/>
        <w:ind w:leftChars="300" w:left="840"/>
        <w:rPr>
          <w:rFonts w:ascii="仿宋_GB2312" w:hAnsi="Arial" w:cs="仿宋_GB2312"/>
          <w:color w:val="000000"/>
          <w:kern w:val="0"/>
          <w:sz w:val="32"/>
          <w:szCs w:val="32"/>
        </w:rPr>
      </w:pPr>
      <w:proofErr w:type="gramStart"/>
      <w:r w:rsidRPr="00633ABB">
        <w:rPr>
          <w:rFonts w:ascii="仿宋_GB2312" w:hAnsi="Arial" w:cs="仿宋_GB2312" w:hint="eastAsia"/>
          <w:color w:val="000000"/>
          <w:kern w:val="0"/>
          <w:sz w:val="32"/>
          <w:szCs w:val="32"/>
        </w:rPr>
        <w:t>邮</w:t>
      </w:r>
      <w:proofErr w:type="gramEnd"/>
      <w:r w:rsidRPr="00633ABB">
        <w:rPr>
          <w:rFonts w:ascii="仿宋_GB2312" w:hAnsi="Arial" w:cs="仿宋_GB2312"/>
          <w:color w:val="000000"/>
          <w:kern w:val="0"/>
          <w:sz w:val="32"/>
          <w:szCs w:val="32"/>
        </w:rPr>
        <w:t xml:space="preserve">    </w:t>
      </w:r>
      <w:r w:rsidRPr="00633ABB">
        <w:rPr>
          <w:rFonts w:ascii="仿宋_GB2312" w:hAnsi="Arial" w:cs="仿宋_GB2312" w:hint="eastAsia"/>
          <w:color w:val="000000"/>
          <w:kern w:val="0"/>
          <w:sz w:val="32"/>
          <w:szCs w:val="32"/>
        </w:rPr>
        <w:t>箱：</w:t>
      </w:r>
      <w:r w:rsidRPr="00633ABB">
        <w:rPr>
          <w:rFonts w:ascii="仿宋_GB2312" w:hAnsi="Arial" w:cs="仿宋_GB2312"/>
          <w:color w:val="000000"/>
          <w:kern w:val="0"/>
          <w:sz w:val="32"/>
          <w:szCs w:val="32"/>
        </w:rPr>
        <w:t>bjdyyy@sina.com</w:t>
      </w:r>
    </w:p>
    <w:p w:rsidR="0006000F" w:rsidRPr="00633ABB" w:rsidRDefault="0006000F" w:rsidP="00633ABB">
      <w:pPr>
        <w:spacing w:line="560" w:lineRule="exact"/>
        <w:ind w:leftChars="300" w:left="840"/>
        <w:rPr>
          <w:rFonts w:ascii="仿宋_GB2312" w:hAnsi="Arial"/>
          <w:color w:val="000000"/>
          <w:kern w:val="0"/>
          <w:sz w:val="32"/>
          <w:szCs w:val="32"/>
        </w:rPr>
      </w:pPr>
      <w:r w:rsidRPr="00633ABB">
        <w:rPr>
          <w:rFonts w:ascii="仿宋_GB2312" w:hAnsi="Arial" w:cs="仿宋_GB2312" w:hint="eastAsia"/>
          <w:color w:val="000000"/>
          <w:kern w:val="0"/>
          <w:sz w:val="32"/>
          <w:szCs w:val="32"/>
        </w:rPr>
        <w:t>详细地址：北京市房山区良乡体育场路</w:t>
      </w:r>
      <w:r w:rsidRPr="00633ABB">
        <w:rPr>
          <w:rFonts w:ascii="仿宋_GB2312" w:hAnsi="Arial" w:cs="仿宋_GB2312"/>
          <w:color w:val="000000"/>
          <w:kern w:val="0"/>
          <w:sz w:val="32"/>
          <w:szCs w:val="32"/>
        </w:rPr>
        <w:t>1</w:t>
      </w:r>
      <w:r w:rsidRPr="00633ABB">
        <w:rPr>
          <w:rFonts w:ascii="仿宋_GB2312" w:hAnsi="Arial" w:cs="仿宋_GB2312" w:hint="eastAsia"/>
          <w:color w:val="000000"/>
          <w:kern w:val="0"/>
          <w:sz w:val="32"/>
          <w:szCs w:val="32"/>
        </w:rPr>
        <w:t>号</w:t>
      </w:r>
    </w:p>
    <w:p w:rsidR="0006000F" w:rsidRPr="00633ABB" w:rsidRDefault="0006000F" w:rsidP="00633ABB">
      <w:pPr>
        <w:spacing w:line="560" w:lineRule="exact"/>
        <w:ind w:leftChars="300" w:left="840"/>
        <w:rPr>
          <w:rFonts w:ascii="仿宋_GB2312" w:hAnsi="Arial" w:cs="仿宋_GB2312"/>
          <w:color w:val="000000"/>
          <w:kern w:val="0"/>
          <w:sz w:val="32"/>
          <w:szCs w:val="32"/>
        </w:rPr>
      </w:pPr>
      <w:proofErr w:type="gramStart"/>
      <w:r w:rsidRPr="00633ABB">
        <w:rPr>
          <w:rFonts w:ascii="仿宋_GB2312" w:hAnsi="Arial" w:cs="仿宋_GB2312" w:hint="eastAsia"/>
          <w:color w:val="000000"/>
          <w:kern w:val="0"/>
          <w:sz w:val="32"/>
          <w:szCs w:val="32"/>
        </w:rPr>
        <w:t>邮</w:t>
      </w:r>
      <w:proofErr w:type="gramEnd"/>
      <w:r w:rsidRPr="00633ABB">
        <w:rPr>
          <w:rFonts w:ascii="仿宋_GB2312" w:hAnsi="Arial" w:cs="仿宋_GB2312"/>
          <w:color w:val="000000"/>
          <w:kern w:val="0"/>
          <w:sz w:val="32"/>
          <w:szCs w:val="32"/>
        </w:rPr>
        <w:t xml:space="preserve">    </w:t>
      </w:r>
      <w:r w:rsidRPr="00633ABB">
        <w:rPr>
          <w:rFonts w:ascii="仿宋_GB2312" w:hAnsi="Arial" w:cs="仿宋_GB2312" w:hint="eastAsia"/>
          <w:color w:val="000000"/>
          <w:kern w:val="0"/>
          <w:sz w:val="32"/>
          <w:szCs w:val="32"/>
        </w:rPr>
        <w:t>编：</w:t>
      </w:r>
      <w:r w:rsidRPr="00633ABB">
        <w:rPr>
          <w:rFonts w:ascii="仿宋_GB2312" w:hAnsi="Arial" w:cs="仿宋_GB2312"/>
          <w:color w:val="000000"/>
          <w:kern w:val="0"/>
          <w:sz w:val="32"/>
          <w:szCs w:val="32"/>
        </w:rPr>
        <w:t>102401</w:t>
      </w:r>
    </w:p>
    <w:sectPr w:rsidR="0006000F" w:rsidRPr="00633ABB" w:rsidSect="00ED5160">
      <w:pgSz w:w="11906" w:h="16838"/>
      <w:pgMar w:top="1440" w:right="1646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0AB1" w:rsidRDefault="00820AB1" w:rsidP="00C11C5D">
      <w:r>
        <w:separator/>
      </w:r>
    </w:p>
  </w:endnote>
  <w:endnote w:type="continuationSeparator" w:id="0">
    <w:p w:rsidR="00820AB1" w:rsidRDefault="00820AB1" w:rsidP="00C11C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0AB1" w:rsidRDefault="00820AB1" w:rsidP="00C11C5D">
      <w:r>
        <w:separator/>
      </w:r>
    </w:p>
  </w:footnote>
  <w:footnote w:type="continuationSeparator" w:id="0">
    <w:p w:rsidR="00820AB1" w:rsidRDefault="00820AB1" w:rsidP="00C11C5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2638A2"/>
    <w:multiLevelType w:val="multilevel"/>
    <w:tmpl w:val="BD6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D0DA9"/>
    <w:rsid w:val="00004855"/>
    <w:rsid w:val="000327E4"/>
    <w:rsid w:val="00042BB2"/>
    <w:rsid w:val="0006000F"/>
    <w:rsid w:val="000E55FC"/>
    <w:rsid w:val="000E6636"/>
    <w:rsid w:val="00101508"/>
    <w:rsid w:val="001067D3"/>
    <w:rsid w:val="00113DD3"/>
    <w:rsid w:val="00134E67"/>
    <w:rsid w:val="001D71B8"/>
    <w:rsid w:val="00216E9D"/>
    <w:rsid w:val="00285647"/>
    <w:rsid w:val="00325261"/>
    <w:rsid w:val="00380A8A"/>
    <w:rsid w:val="003E3B00"/>
    <w:rsid w:val="003E5F5F"/>
    <w:rsid w:val="004219B8"/>
    <w:rsid w:val="004372E4"/>
    <w:rsid w:val="00480119"/>
    <w:rsid w:val="0049454F"/>
    <w:rsid w:val="004B5ADE"/>
    <w:rsid w:val="004B676F"/>
    <w:rsid w:val="004F6298"/>
    <w:rsid w:val="00536183"/>
    <w:rsid w:val="005403C3"/>
    <w:rsid w:val="00581CE4"/>
    <w:rsid w:val="005A643D"/>
    <w:rsid w:val="00603E4C"/>
    <w:rsid w:val="00633ABB"/>
    <w:rsid w:val="00650D54"/>
    <w:rsid w:val="00683CB9"/>
    <w:rsid w:val="006B50A2"/>
    <w:rsid w:val="006E0383"/>
    <w:rsid w:val="00735042"/>
    <w:rsid w:val="007E7581"/>
    <w:rsid w:val="00820AB1"/>
    <w:rsid w:val="008256F2"/>
    <w:rsid w:val="00830EF3"/>
    <w:rsid w:val="00847D25"/>
    <w:rsid w:val="00893252"/>
    <w:rsid w:val="008C1B1A"/>
    <w:rsid w:val="008C2C79"/>
    <w:rsid w:val="008D0DA9"/>
    <w:rsid w:val="008E0D5A"/>
    <w:rsid w:val="00962806"/>
    <w:rsid w:val="00985ABD"/>
    <w:rsid w:val="009D4F0E"/>
    <w:rsid w:val="009F5494"/>
    <w:rsid w:val="00A23AC0"/>
    <w:rsid w:val="00A33CDA"/>
    <w:rsid w:val="00AB0ED1"/>
    <w:rsid w:val="00AE3613"/>
    <w:rsid w:val="00B00FD9"/>
    <w:rsid w:val="00BA4290"/>
    <w:rsid w:val="00BE5D9E"/>
    <w:rsid w:val="00C11C5D"/>
    <w:rsid w:val="00C36CDD"/>
    <w:rsid w:val="00C4128F"/>
    <w:rsid w:val="00C97540"/>
    <w:rsid w:val="00D021D7"/>
    <w:rsid w:val="00D14B4F"/>
    <w:rsid w:val="00D33FAB"/>
    <w:rsid w:val="00D466A8"/>
    <w:rsid w:val="00D561E2"/>
    <w:rsid w:val="00D76D17"/>
    <w:rsid w:val="00E153E6"/>
    <w:rsid w:val="00E24E90"/>
    <w:rsid w:val="00E37D6B"/>
    <w:rsid w:val="00E85AB9"/>
    <w:rsid w:val="00E95C71"/>
    <w:rsid w:val="00EB55E4"/>
    <w:rsid w:val="00EC2581"/>
    <w:rsid w:val="00ED5160"/>
    <w:rsid w:val="00F21C8C"/>
    <w:rsid w:val="00F24BC7"/>
    <w:rsid w:val="00F35240"/>
    <w:rsid w:val="00F40366"/>
    <w:rsid w:val="00F83D60"/>
    <w:rsid w:val="00F87F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DA9"/>
    <w:pPr>
      <w:widowControl w:val="0"/>
      <w:jc w:val="both"/>
    </w:pPr>
    <w:rPr>
      <w:rFonts w:eastAsia="仿宋_GB2312"/>
      <w:kern w:val="2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C11C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C11C5D"/>
    <w:rPr>
      <w:rFonts w:eastAsia="仿宋_GB2312"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C11C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C11C5D"/>
    <w:rPr>
      <w:rFonts w:eastAsia="仿宋_GB2312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78</Words>
  <Characters>451</Characters>
  <Application>Microsoft Office Word</Application>
  <DocSecurity>0</DocSecurity>
  <Lines>3</Lines>
  <Paragraphs>1</Paragraphs>
  <ScaleCrop>false</ScaleCrop>
  <Company>北京电力设备总厂职工医院</Company>
  <LinksUpToDate>false</LinksUpToDate>
  <CharactersWithSpaces>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北京电业医院又名北京电力设备总厂职工医院，位于房山区政府所在地良乡体育场路1号，是一所设施完善、门类齐全，具有各种诊疗、手术和抢救能力的综合性一级甲等医院，北京市基本医疗保险定点医疗机构</dc:title>
  <dc:creator>急诊</dc:creator>
  <cp:lastModifiedBy>汪开敏</cp:lastModifiedBy>
  <cp:revision>5</cp:revision>
  <dcterms:created xsi:type="dcterms:W3CDTF">2016-01-15T01:47:00Z</dcterms:created>
  <dcterms:modified xsi:type="dcterms:W3CDTF">2016-01-18T04:53:00Z</dcterms:modified>
</cp:coreProperties>
</file>